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CFD0C" w14:textId="77777777" w:rsidR="00D13514" w:rsidRPr="007263E1" w:rsidRDefault="00BB6A2D" w:rsidP="00342484">
      <w:pPr>
        <w:rPr>
          <w:rFonts w:ascii="Times New Roman" w:hAnsi="Times New Roman" w:cs="Times New Roman"/>
          <w:b/>
          <w:bCs/>
        </w:rPr>
      </w:pPr>
      <w:r w:rsidRPr="007263E1">
        <w:rPr>
          <w:rFonts w:ascii="Times New Roman" w:hAnsi="Times New Roman" w:cs="Times New Roman"/>
          <w:b/>
          <w:bCs/>
        </w:rPr>
        <w:t>FIVE YEARS RETROSPECTIVE STUDY OF BURN</w:t>
      </w:r>
      <w:r w:rsidR="006B78BE" w:rsidRPr="007263E1">
        <w:rPr>
          <w:rFonts w:ascii="Times New Roman" w:hAnsi="Times New Roman" w:cs="Times New Roman"/>
          <w:b/>
          <w:bCs/>
        </w:rPr>
        <w:t>S</w:t>
      </w:r>
      <w:r w:rsidRPr="007263E1">
        <w:rPr>
          <w:rFonts w:ascii="Times New Roman" w:hAnsi="Times New Roman" w:cs="Times New Roman"/>
          <w:b/>
          <w:bCs/>
        </w:rPr>
        <w:t xml:space="preserve"> IN DR SOETOMO GENERAL HOSPITAL SURABAYA</w:t>
      </w:r>
    </w:p>
    <w:p w14:paraId="18547A5F" w14:textId="77777777" w:rsidR="00BB6A2D" w:rsidRPr="007263E1" w:rsidRDefault="00BB6A2D" w:rsidP="00342484">
      <w:pPr>
        <w:rPr>
          <w:rFonts w:ascii="Times New Roman" w:hAnsi="Times New Roman" w:cs="Times New Roman"/>
          <w:b/>
          <w:bCs/>
        </w:rPr>
      </w:pPr>
    </w:p>
    <w:p w14:paraId="7BE74D26" w14:textId="77777777" w:rsidR="00E2600D" w:rsidRPr="00E2600D" w:rsidRDefault="00E2600D" w:rsidP="00342484">
      <w:pPr>
        <w:rPr>
          <w:rFonts w:ascii="Times New Roman" w:hAnsi="Times New Roman" w:cs="Times New Roman"/>
          <w:b/>
        </w:rPr>
      </w:pPr>
      <w:r w:rsidRPr="00E2600D">
        <w:rPr>
          <w:rFonts w:ascii="Times New Roman" w:hAnsi="Times New Roman" w:cs="Times New Roman"/>
          <w:b/>
        </w:rPr>
        <w:t xml:space="preserve">T. S. N. </w:t>
      </w:r>
      <w:proofErr w:type="spellStart"/>
      <w:r w:rsidRPr="00E2600D">
        <w:rPr>
          <w:rFonts w:ascii="Times New Roman" w:hAnsi="Times New Roman" w:cs="Times New Roman"/>
          <w:b/>
        </w:rPr>
        <w:t>Hidayat</w:t>
      </w:r>
      <w:proofErr w:type="spellEnd"/>
      <w:r w:rsidRPr="00E2600D">
        <w:rPr>
          <w:rFonts w:ascii="Times New Roman" w:hAnsi="Times New Roman" w:cs="Times New Roman"/>
          <w:b/>
        </w:rPr>
        <w:t xml:space="preserve">*, M. S. </w:t>
      </w:r>
      <w:proofErr w:type="spellStart"/>
      <w:r w:rsidRPr="00E2600D">
        <w:rPr>
          <w:rFonts w:ascii="Times New Roman" w:hAnsi="Times New Roman" w:cs="Times New Roman"/>
          <w:b/>
        </w:rPr>
        <w:t>Noer</w:t>
      </w:r>
      <w:proofErr w:type="spellEnd"/>
      <w:r w:rsidRPr="00E2600D">
        <w:rPr>
          <w:rFonts w:ascii="Times New Roman" w:hAnsi="Times New Roman" w:cs="Times New Roman"/>
          <w:b/>
        </w:rPr>
        <w:t xml:space="preserve">, I. D. </w:t>
      </w:r>
      <w:proofErr w:type="spellStart"/>
      <w:r w:rsidRPr="00E2600D">
        <w:rPr>
          <w:rFonts w:ascii="Times New Roman" w:hAnsi="Times New Roman" w:cs="Times New Roman"/>
          <w:b/>
        </w:rPr>
        <w:t>Saputro</w:t>
      </w:r>
      <w:proofErr w:type="spellEnd"/>
    </w:p>
    <w:p w14:paraId="7387A54F" w14:textId="77777777" w:rsidR="00E2600D" w:rsidRPr="00E2600D" w:rsidRDefault="00E2600D" w:rsidP="00342484">
      <w:pPr>
        <w:rPr>
          <w:rFonts w:ascii="Times New Roman" w:hAnsi="Times New Roman" w:cs="Times New Roman"/>
        </w:rPr>
      </w:pPr>
      <w:r w:rsidRPr="00E2600D">
        <w:rPr>
          <w:rFonts w:ascii="Times New Roman" w:hAnsi="Times New Roman" w:cs="Times New Roman"/>
        </w:rPr>
        <w:t>Department of Plastic Reconstructive and Aesthetic Surgery</w:t>
      </w:r>
    </w:p>
    <w:p w14:paraId="35DDC74E" w14:textId="77777777" w:rsidR="00E2600D" w:rsidRPr="00E2600D" w:rsidRDefault="00E2600D" w:rsidP="00342484">
      <w:pPr>
        <w:rPr>
          <w:rFonts w:ascii="Times New Roman" w:hAnsi="Times New Roman" w:cs="Times New Roman"/>
        </w:rPr>
      </w:pPr>
      <w:proofErr w:type="spellStart"/>
      <w:r w:rsidRPr="00E2600D">
        <w:rPr>
          <w:rFonts w:ascii="Times New Roman" w:hAnsi="Times New Roman" w:cs="Times New Roman"/>
        </w:rPr>
        <w:t>Airlangga</w:t>
      </w:r>
      <w:proofErr w:type="spellEnd"/>
      <w:r w:rsidRPr="00E2600D">
        <w:rPr>
          <w:rFonts w:ascii="Times New Roman" w:hAnsi="Times New Roman" w:cs="Times New Roman"/>
        </w:rPr>
        <w:t xml:space="preserve"> University School of Medicine</w:t>
      </w:r>
    </w:p>
    <w:p w14:paraId="1833BBB4" w14:textId="77777777" w:rsidR="00E2600D" w:rsidRPr="00E2600D" w:rsidRDefault="00E2600D" w:rsidP="00342484">
      <w:pPr>
        <w:rPr>
          <w:rFonts w:ascii="Times New Roman" w:hAnsi="Times New Roman" w:cs="Times New Roman"/>
          <w:b/>
        </w:rPr>
      </w:pPr>
      <w:r w:rsidRPr="00E2600D">
        <w:rPr>
          <w:rFonts w:ascii="Times New Roman" w:hAnsi="Times New Roman" w:cs="Times New Roman"/>
        </w:rPr>
        <w:t xml:space="preserve">Dr </w:t>
      </w:r>
      <w:proofErr w:type="spellStart"/>
      <w:r w:rsidRPr="00E2600D">
        <w:rPr>
          <w:rFonts w:ascii="Times New Roman" w:hAnsi="Times New Roman" w:cs="Times New Roman"/>
        </w:rPr>
        <w:t>Soetomo</w:t>
      </w:r>
      <w:proofErr w:type="spellEnd"/>
      <w:r w:rsidRPr="00E2600D">
        <w:rPr>
          <w:rFonts w:ascii="Times New Roman" w:hAnsi="Times New Roman" w:cs="Times New Roman"/>
        </w:rPr>
        <w:t xml:space="preserve"> General Hospital Surabaya</w:t>
      </w:r>
    </w:p>
    <w:p w14:paraId="13B49CFE" w14:textId="77777777" w:rsidR="00BB6A2D" w:rsidRPr="007263E1" w:rsidRDefault="00BB6A2D" w:rsidP="0040686A">
      <w:pPr>
        <w:jc w:val="left"/>
        <w:rPr>
          <w:rFonts w:ascii="Times New Roman" w:hAnsi="Times New Roman" w:cs="Times New Roman"/>
        </w:rPr>
      </w:pPr>
    </w:p>
    <w:p w14:paraId="12F78362" w14:textId="77777777" w:rsidR="00BB6A2D" w:rsidRPr="007263E1" w:rsidRDefault="00BB6A2D" w:rsidP="0040686A">
      <w:pPr>
        <w:jc w:val="left"/>
        <w:rPr>
          <w:rFonts w:ascii="Times New Roman" w:hAnsi="Times New Roman" w:cs="Times New Roman"/>
          <w:b/>
        </w:rPr>
      </w:pPr>
      <w:r w:rsidRPr="007263E1">
        <w:rPr>
          <w:rFonts w:ascii="Times New Roman" w:hAnsi="Times New Roman" w:cs="Times New Roman"/>
          <w:b/>
        </w:rPr>
        <w:t>ABSTRACT</w:t>
      </w:r>
    </w:p>
    <w:p w14:paraId="3C78088A" w14:textId="77777777" w:rsidR="00BB6A2D" w:rsidRPr="007263E1" w:rsidRDefault="00BB6A2D" w:rsidP="00631AE2">
      <w:pPr>
        <w:jc w:val="both"/>
        <w:rPr>
          <w:rFonts w:ascii="Times New Roman" w:hAnsi="Times New Roman" w:cs="Times New Roman"/>
        </w:rPr>
      </w:pPr>
    </w:p>
    <w:p w14:paraId="63EC69FA" w14:textId="77777777" w:rsidR="00F954AB" w:rsidRPr="00AF0CE0" w:rsidRDefault="00F954AB" w:rsidP="006F3C33">
      <w:pPr>
        <w:jc w:val="both"/>
        <w:rPr>
          <w:rFonts w:ascii="Times New Roman" w:eastAsia="Times New Roman" w:hAnsi="Times New Roman" w:cs="Times New Roman"/>
          <w:sz w:val="20"/>
          <w:szCs w:val="20"/>
        </w:rPr>
      </w:pPr>
      <w:r w:rsidRPr="00AF0CE0">
        <w:rPr>
          <w:rFonts w:ascii="Times New Roman" w:eastAsia="Times New Roman" w:hAnsi="Times New Roman" w:cs="Times New Roman"/>
          <w:b/>
          <w:sz w:val="20"/>
          <w:szCs w:val="20"/>
        </w:rPr>
        <w:t>Background:</w:t>
      </w:r>
      <w:r w:rsidRPr="00AF0CE0">
        <w:rPr>
          <w:rFonts w:ascii="Times New Roman" w:eastAsia="Times New Roman" w:hAnsi="Times New Roman" w:cs="Times New Roman"/>
          <w:sz w:val="20"/>
          <w:szCs w:val="20"/>
        </w:rPr>
        <w:t xml:space="preserve"> Burn injury is a common cause of morbidity and mortality. Outcomes for burn patients have improved over the past 12 years, yet burns still cause substantial morbidity and mortality. Proper evaluation and management, coupled with appropriate early referral to a specialist center, greatly help in minimizing suffering and optimizing results. The aim of this study is to obtain a comprehensive baseline data for subsequent reviews and to evaluate the quality of patient care in Dr. </w:t>
      </w:r>
      <w:proofErr w:type="spellStart"/>
      <w:r w:rsidRPr="00AF0CE0">
        <w:rPr>
          <w:rFonts w:ascii="Times New Roman" w:eastAsia="Times New Roman" w:hAnsi="Times New Roman" w:cs="Times New Roman"/>
          <w:sz w:val="20"/>
          <w:szCs w:val="20"/>
        </w:rPr>
        <w:t>Soetomo</w:t>
      </w:r>
      <w:proofErr w:type="spellEnd"/>
      <w:r w:rsidRPr="00AF0CE0">
        <w:rPr>
          <w:rFonts w:ascii="Times New Roman" w:eastAsia="Times New Roman" w:hAnsi="Times New Roman" w:cs="Times New Roman"/>
          <w:sz w:val="20"/>
          <w:szCs w:val="20"/>
        </w:rPr>
        <w:t xml:space="preserve"> General Hospital Surabaya.</w:t>
      </w:r>
    </w:p>
    <w:p w14:paraId="7FAA7F79" w14:textId="77777777" w:rsidR="00F954AB" w:rsidRPr="00AF0CE0" w:rsidRDefault="00F954AB" w:rsidP="006F3C33">
      <w:pPr>
        <w:jc w:val="both"/>
        <w:rPr>
          <w:rFonts w:ascii="Times New Roman" w:eastAsia="Times New Roman" w:hAnsi="Times New Roman" w:cs="Times New Roman"/>
          <w:sz w:val="20"/>
          <w:szCs w:val="20"/>
        </w:rPr>
      </w:pPr>
      <w:r w:rsidRPr="00AF0CE0">
        <w:rPr>
          <w:rFonts w:ascii="Times New Roman" w:eastAsia="Times New Roman" w:hAnsi="Times New Roman" w:cs="Times New Roman"/>
          <w:b/>
          <w:sz w:val="20"/>
          <w:szCs w:val="20"/>
        </w:rPr>
        <w:t>Methods:</w:t>
      </w:r>
      <w:r w:rsidRPr="00AF0CE0">
        <w:rPr>
          <w:rFonts w:ascii="Times New Roman" w:eastAsia="Times New Roman" w:hAnsi="Times New Roman" w:cs="Times New Roman"/>
          <w:sz w:val="20"/>
          <w:szCs w:val="20"/>
        </w:rPr>
        <w:t xml:space="preserve"> These five years (between January 2007 and December 2011) retrospective study of burn </w:t>
      </w:r>
      <w:proofErr w:type="spellStart"/>
      <w:r w:rsidRPr="00AF0CE0">
        <w:rPr>
          <w:rFonts w:ascii="Times New Roman" w:eastAsia="Times New Roman" w:hAnsi="Times New Roman" w:cs="Times New Roman"/>
          <w:sz w:val="20"/>
          <w:szCs w:val="20"/>
        </w:rPr>
        <w:t>injuried</w:t>
      </w:r>
      <w:proofErr w:type="spellEnd"/>
      <w:r w:rsidRPr="00AF0CE0">
        <w:rPr>
          <w:rFonts w:ascii="Times New Roman" w:eastAsia="Times New Roman" w:hAnsi="Times New Roman" w:cs="Times New Roman"/>
          <w:sz w:val="20"/>
          <w:szCs w:val="20"/>
        </w:rPr>
        <w:t xml:space="preserve"> patients admitted in the burn unit GBPT and G ward Dr. </w:t>
      </w:r>
      <w:proofErr w:type="spellStart"/>
      <w:r w:rsidRPr="00AF0CE0">
        <w:rPr>
          <w:rFonts w:ascii="Times New Roman" w:eastAsia="Times New Roman" w:hAnsi="Times New Roman" w:cs="Times New Roman"/>
          <w:sz w:val="20"/>
          <w:szCs w:val="20"/>
        </w:rPr>
        <w:t>Soetomo</w:t>
      </w:r>
      <w:proofErr w:type="spellEnd"/>
      <w:r w:rsidRPr="00AF0CE0">
        <w:rPr>
          <w:rFonts w:ascii="Times New Roman" w:eastAsia="Times New Roman" w:hAnsi="Times New Roman" w:cs="Times New Roman"/>
          <w:sz w:val="20"/>
          <w:szCs w:val="20"/>
        </w:rPr>
        <w:t xml:space="preserve"> General Hospital Surabaya. Data was collected from medical record of patients and was analyzed statistically.</w:t>
      </w:r>
    </w:p>
    <w:p w14:paraId="4AE93520" w14:textId="77777777" w:rsidR="00F954AB" w:rsidRPr="00AF0CE0" w:rsidRDefault="00F954AB" w:rsidP="006F3C33">
      <w:pPr>
        <w:jc w:val="both"/>
        <w:rPr>
          <w:rFonts w:ascii="Times New Roman" w:eastAsia="Times New Roman" w:hAnsi="Times New Roman" w:cs="Times New Roman"/>
          <w:sz w:val="20"/>
          <w:szCs w:val="20"/>
        </w:rPr>
      </w:pPr>
      <w:r w:rsidRPr="00AF0CE0">
        <w:rPr>
          <w:rFonts w:ascii="Times New Roman" w:eastAsia="Times New Roman" w:hAnsi="Times New Roman" w:cs="Times New Roman"/>
          <w:b/>
          <w:sz w:val="20"/>
          <w:szCs w:val="20"/>
        </w:rPr>
        <w:t>Results:</w:t>
      </w:r>
      <w:r w:rsidRPr="00AF0CE0">
        <w:rPr>
          <w:rFonts w:ascii="Times New Roman" w:eastAsia="Times New Roman" w:hAnsi="Times New Roman" w:cs="Times New Roman"/>
          <w:sz w:val="20"/>
          <w:szCs w:val="20"/>
        </w:rPr>
        <w:t xml:space="preserve"> A total 665 patients admitted since that period. 431 (64.8%) of them were males while 234 (35.2%) were females giving a </w:t>
      </w:r>
      <w:proofErr w:type="spellStart"/>
      <w:r w:rsidRPr="00AF0CE0">
        <w:rPr>
          <w:rFonts w:ascii="Times New Roman" w:eastAsia="Times New Roman" w:hAnsi="Times New Roman" w:cs="Times New Roman"/>
          <w:sz w:val="20"/>
          <w:szCs w:val="20"/>
        </w:rPr>
        <w:t>male</w:t>
      </w:r>
      <w:proofErr w:type="gramStart"/>
      <w:r w:rsidRPr="00AF0CE0">
        <w:rPr>
          <w:rFonts w:ascii="Times New Roman" w:eastAsia="Times New Roman" w:hAnsi="Times New Roman" w:cs="Times New Roman"/>
          <w:sz w:val="20"/>
          <w:szCs w:val="20"/>
        </w:rPr>
        <w:t>:female</w:t>
      </w:r>
      <w:proofErr w:type="spellEnd"/>
      <w:proofErr w:type="gramEnd"/>
      <w:r w:rsidRPr="00AF0CE0">
        <w:rPr>
          <w:rFonts w:ascii="Times New Roman" w:eastAsia="Times New Roman" w:hAnsi="Times New Roman" w:cs="Times New Roman"/>
          <w:sz w:val="20"/>
          <w:szCs w:val="20"/>
        </w:rPr>
        <w:t xml:space="preserve"> ratio of 2:1. Retrospectively, 555(83.5%) patients were cured, 95 (14.1%) patients were dead, and 15 (2.4%) patients were discharge without doctor’s consent. The most common cause of these injuries was flame (48.3%). Inhalation trauma was 96 (14.4%) patients. There were significant correlations between results of treatment and inhalation trauma (p=0.0001 r=0.625).</w:t>
      </w:r>
    </w:p>
    <w:p w14:paraId="6FA7E350" w14:textId="77777777" w:rsidR="00BB6A2D" w:rsidRPr="00AF0CE0" w:rsidRDefault="00F954AB" w:rsidP="006F3C33">
      <w:pPr>
        <w:jc w:val="both"/>
        <w:rPr>
          <w:rFonts w:ascii="Times New Roman" w:eastAsia="Times New Roman" w:hAnsi="Times New Roman" w:cs="Times New Roman"/>
          <w:sz w:val="20"/>
          <w:szCs w:val="20"/>
        </w:rPr>
      </w:pPr>
      <w:r w:rsidRPr="00AF0CE0">
        <w:rPr>
          <w:rFonts w:ascii="Times New Roman" w:eastAsia="Times New Roman" w:hAnsi="Times New Roman" w:cs="Times New Roman"/>
          <w:b/>
          <w:sz w:val="20"/>
          <w:szCs w:val="20"/>
        </w:rPr>
        <w:t>Conclusion:</w:t>
      </w:r>
      <w:r w:rsidRPr="00AF0CE0">
        <w:rPr>
          <w:rFonts w:ascii="Times New Roman" w:eastAsia="Times New Roman" w:hAnsi="Times New Roman" w:cs="Times New Roman"/>
          <w:sz w:val="20"/>
          <w:szCs w:val="20"/>
        </w:rPr>
        <w:t xml:space="preserve"> the proportion of death caused by burn injury in 2011 was10.3%.</w:t>
      </w:r>
      <w:r w:rsidRPr="00AF0CE0">
        <w:rPr>
          <w:rFonts w:ascii="Times New Roman" w:eastAsia="+mn-ea" w:hAnsi="Times New Roman" w:cs="Times New Roman"/>
          <w:color w:val="000000"/>
          <w:kern w:val="24"/>
          <w:sz w:val="20"/>
          <w:szCs w:val="20"/>
        </w:rPr>
        <w:t xml:space="preserve"> </w:t>
      </w:r>
      <w:proofErr w:type="gramStart"/>
      <w:r w:rsidRPr="00AF0CE0">
        <w:rPr>
          <w:rFonts w:ascii="Times New Roman" w:eastAsia="+mn-ea" w:hAnsi="Times New Roman" w:cs="Times New Roman"/>
          <w:color w:val="000000"/>
          <w:kern w:val="24"/>
          <w:sz w:val="20"/>
          <w:szCs w:val="20"/>
        </w:rPr>
        <w:t xml:space="preserve">Any </w:t>
      </w:r>
      <w:r w:rsidRPr="00AF0CE0">
        <w:rPr>
          <w:rFonts w:ascii="Times New Roman" w:eastAsia="Times New Roman" w:hAnsi="Times New Roman" w:cs="Times New Roman"/>
          <w:sz w:val="20"/>
          <w:szCs w:val="20"/>
        </w:rPr>
        <w:t>correlation between mortality with etiology and inhalation trauma.</w:t>
      </w:r>
      <w:proofErr w:type="gramEnd"/>
    </w:p>
    <w:p w14:paraId="16C87A56" w14:textId="77777777" w:rsidR="0040686A" w:rsidRPr="00AF0CE0" w:rsidRDefault="0040686A" w:rsidP="00631AE2">
      <w:pPr>
        <w:jc w:val="both"/>
        <w:rPr>
          <w:rFonts w:ascii="Times New Roman" w:eastAsia="Times New Roman" w:hAnsi="Times New Roman" w:cs="Times New Roman"/>
          <w:sz w:val="20"/>
          <w:szCs w:val="20"/>
        </w:rPr>
      </w:pPr>
    </w:p>
    <w:p w14:paraId="2409FBE7" w14:textId="77777777" w:rsidR="0040686A" w:rsidRPr="007263E1" w:rsidRDefault="0040686A" w:rsidP="00631AE2">
      <w:pPr>
        <w:jc w:val="both"/>
        <w:rPr>
          <w:rFonts w:ascii="Times New Roman" w:eastAsia="Times New Roman" w:hAnsi="Times New Roman" w:cs="Times New Roman"/>
          <w:i/>
          <w:sz w:val="20"/>
          <w:szCs w:val="20"/>
        </w:rPr>
      </w:pPr>
      <w:r w:rsidRPr="007263E1">
        <w:rPr>
          <w:rFonts w:ascii="Times New Roman" w:eastAsia="Times New Roman" w:hAnsi="Times New Roman" w:cs="Times New Roman"/>
          <w:b/>
          <w:i/>
          <w:sz w:val="20"/>
          <w:szCs w:val="20"/>
        </w:rPr>
        <w:t>Keywords</w:t>
      </w:r>
      <w:r w:rsidRPr="007263E1">
        <w:rPr>
          <w:rFonts w:ascii="Times New Roman" w:eastAsia="Times New Roman" w:hAnsi="Times New Roman" w:cs="Times New Roman"/>
          <w:i/>
          <w:sz w:val="20"/>
          <w:szCs w:val="20"/>
        </w:rPr>
        <w:t xml:space="preserve">: burn injury, burn incidence, </w:t>
      </w:r>
      <w:proofErr w:type="gramStart"/>
      <w:r w:rsidRPr="007263E1">
        <w:rPr>
          <w:rFonts w:ascii="Times New Roman" w:eastAsia="Times New Roman" w:hAnsi="Times New Roman" w:cs="Times New Roman"/>
          <w:i/>
          <w:sz w:val="20"/>
          <w:szCs w:val="20"/>
        </w:rPr>
        <w:t>burn</w:t>
      </w:r>
      <w:proofErr w:type="gramEnd"/>
      <w:r w:rsidRPr="007263E1">
        <w:rPr>
          <w:rFonts w:ascii="Times New Roman" w:eastAsia="Times New Roman" w:hAnsi="Times New Roman" w:cs="Times New Roman"/>
          <w:i/>
          <w:sz w:val="20"/>
          <w:szCs w:val="20"/>
        </w:rPr>
        <w:t xml:space="preserve"> unit and G ward, death proportion</w:t>
      </w:r>
    </w:p>
    <w:p w14:paraId="2E118B69" w14:textId="77777777" w:rsidR="0040686A" w:rsidRDefault="0040686A" w:rsidP="00631AE2">
      <w:pPr>
        <w:jc w:val="both"/>
        <w:rPr>
          <w:rFonts w:ascii="Times New Roman" w:hAnsi="Times New Roman" w:cs="Times New Roman"/>
        </w:rPr>
      </w:pPr>
    </w:p>
    <w:p w14:paraId="721E015A" w14:textId="77777777" w:rsidR="00B50CA1" w:rsidRPr="007263E1" w:rsidRDefault="00B50CA1" w:rsidP="00631AE2">
      <w:pPr>
        <w:jc w:val="both"/>
        <w:rPr>
          <w:rFonts w:ascii="Times New Roman" w:hAnsi="Times New Roman" w:cs="Times New Roman"/>
        </w:rPr>
      </w:pPr>
    </w:p>
    <w:p w14:paraId="0426BB1B" w14:textId="77777777" w:rsidR="00B50CA1" w:rsidRDefault="00B50CA1" w:rsidP="00631AE2">
      <w:pPr>
        <w:jc w:val="both"/>
        <w:rPr>
          <w:rFonts w:ascii="Times New Roman" w:hAnsi="Times New Roman" w:cs="Times New Roman"/>
          <w:b/>
        </w:rPr>
        <w:sectPr w:rsidR="00B50CA1" w:rsidSect="00BB6A2D">
          <w:footerReference w:type="default" r:id="rId9"/>
          <w:pgSz w:w="11907" w:h="16839" w:code="9"/>
          <w:pgMar w:top="1440" w:right="1440" w:bottom="1440" w:left="1440" w:header="720" w:footer="720" w:gutter="0"/>
          <w:cols w:space="720"/>
          <w:docGrid w:linePitch="360"/>
        </w:sectPr>
      </w:pPr>
    </w:p>
    <w:p w14:paraId="5CE4B361" w14:textId="77777777" w:rsidR="004E44AA" w:rsidRPr="007263E1" w:rsidRDefault="004E44AA" w:rsidP="00631AE2">
      <w:pPr>
        <w:jc w:val="both"/>
        <w:rPr>
          <w:rFonts w:ascii="Times New Roman" w:hAnsi="Times New Roman" w:cs="Times New Roman"/>
          <w:b/>
        </w:rPr>
      </w:pPr>
      <w:r w:rsidRPr="007263E1">
        <w:rPr>
          <w:rFonts w:ascii="Times New Roman" w:hAnsi="Times New Roman" w:cs="Times New Roman"/>
          <w:b/>
        </w:rPr>
        <w:lastRenderedPageBreak/>
        <w:t>INTRODUCTION</w:t>
      </w:r>
    </w:p>
    <w:p w14:paraId="4CC26F66" w14:textId="77777777" w:rsidR="00631AE2" w:rsidRPr="007263E1" w:rsidRDefault="00631AE2" w:rsidP="00631AE2">
      <w:pPr>
        <w:jc w:val="both"/>
        <w:rPr>
          <w:rFonts w:ascii="Times New Roman" w:hAnsi="Times New Roman" w:cs="Times New Roman"/>
        </w:rPr>
      </w:pPr>
    </w:p>
    <w:p w14:paraId="5A3869C1" w14:textId="77777777" w:rsidR="004E44AA" w:rsidRPr="007263E1" w:rsidRDefault="004E44AA" w:rsidP="00631AE2">
      <w:pPr>
        <w:jc w:val="both"/>
        <w:rPr>
          <w:rFonts w:ascii="Times New Roman" w:hAnsi="Times New Roman" w:cs="Times New Roman"/>
        </w:rPr>
      </w:pPr>
      <w:r w:rsidRPr="007263E1">
        <w:rPr>
          <w:rFonts w:ascii="Times New Roman" w:hAnsi="Times New Roman" w:cs="Times New Roman"/>
        </w:rPr>
        <w:t>Burned wound is a situation that is very different from any disease or any disorder known in medical world. Complexity of the problems that exist in every phase has lead to difficulties in providing help or services based on standard or procedure. To obtain burn service quality standards, particularly in decreasing the number of death, necessarily need to create standard operation procedure that for each organization.</w:t>
      </w:r>
    </w:p>
    <w:p w14:paraId="413DF8D0" w14:textId="77777777" w:rsidR="004E44AA" w:rsidRPr="007263E1" w:rsidRDefault="004E44AA" w:rsidP="00631AE2">
      <w:pPr>
        <w:jc w:val="both"/>
        <w:rPr>
          <w:rFonts w:ascii="Times New Roman" w:hAnsi="Times New Roman" w:cs="Times New Roman"/>
        </w:rPr>
      </w:pPr>
      <w:r w:rsidRPr="007263E1">
        <w:rPr>
          <w:rFonts w:ascii="Times New Roman" w:hAnsi="Times New Roman" w:cs="Times New Roman"/>
        </w:rPr>
        <w:t>Implementation of burn wound, refers to Burn Association of Indones</w:t>
      </w:r>
      <w:r w:rsidR="00E65D0E" w:rsidRPr="007263E1">
        <w:rPr>
          <w:rFonts w:ascii="Times New Roman" w:hAnsi="Times New Roman" w:cs="Times New Roman"/>
        </w:rPr>
        <w:t xml:space="preserve">ia, Dr. </w:t>
      </w:r>
      <w:proofErr w:type="spellStart"/>
      <w:r w:rsidR="00E65D0E" w:rsidRPr="007263E1">
        <w:rPr>
          <w:rFonts w:ascii="Times New Roman" w:hAnsi="Times New Roman" w:cs="Times New Roman"/>
        </w:rPr>
        <w:t>Soetomo</w:t>
      </w:r>
      <w:proofErr w:type="spellEnd"/>
      <w:r w:rsidR="00E65D0E" w:rsidRPr="007263E1">
        <w:rPr>
          <w:rFonts w:ascii="Times New Roman" w:hAnsi="Times New Roman" w:cs="Times New Roman"/>
        </w:rPr>
        <w:t xml:space="preserve"> General Hospital has its own Burn U</w:t>
      </w:r>
      <w:r w:rsidRPr="007263E1">
        <w:rPr>
          <w:rFonts w:ascii="Times New Roman" w:hAnsi="Times New Roman" w:cs="Times New Roman"/>
        </w:rPr>
        <w:t>nit</w:t>
      </w:r>
      <w:r w:rsidR="00E65D0E" w:rsidRPr="007263E1">
        <w:rPr>
          <w:rFonts w:ascii="Times New Roman" w:hAnsi="Times New Roman" w:cs="Times New Roman"/>
        </w:rPr>
        <w:t xml:space="preserve"> at the 3</w:t>
      </w:r>
      <w:r w:rsidR="00E65D0E" w:rsidRPr="007263E1">
        <w:rPr>
          <w:rFonts w:ascii="Times New Roman" w:hAnsi="Times New Roman" w:cs="Times New Roman"/>
          <w:vertAlign w:val="superscript"/>
        </w:rPr>
        <w:t>rd</w:t>
      </w:r>
      <w:r w:rsidR="00E65D0E" w:rsidRPr="007263E1">
        <w:rPr>
          <w:rFonts w:ascii="Times New Roman" w:hAnsi="Times New Roman" w:cs="Times New Roman"/>
        </w:rPr>
        <w:t xml:space="preserve"> floor of </w:t>
      </w:r>
      <w:proofErr w:type="spellStart"/>
      <w:r w:rsidR="00E65D0E" w:rsidRPr="007263E1">
        <w:rPr>
          <w:rFonts w:ascii="Times New Roman" w:hAnsi="Times New Roman" w:cs="Times New Roman"/>
        </w:rPr>
        <w:t>Gedung</w:t>
      </w:r>
      <w:proofErr w:type="spellEnd"/>
      <w:r w:rsidR="00E65D0E" w:rsidRPr="007263E1">
        <w:rPr>
          <w:rFonts w:ascii="Times New Roman" w:hAnsi="Times New Roman" w:cs="Times New Roman"/>
        </w:rPr>
        <w:t xml:space="preserve"> </w:t>
      </w:r>
      <w:proofErr w:type="spellStart"/>
      <w:r w:rsidR="00E65D0E" w:rsidRPr="007263E1">
        <w:rPr>
          <w:rFonts w:ascii="Times New Roman" w:hAnsi="Times New Roman" w:cs="Times New Roman"/>
        </w:rPr>
        <w:t>Bedah</w:t>
      </w:r>
      <w:proofErr w:type="spellEnd"/>
      <w:r w:rsidR="00E65D0E" w:rsidRPr="007263E1">
        <w:rPr>
          <w:rFonts w:ascii="Times New Roman" w:hAnsi="Times New Roman" w:cs="Times New Roman"/>
        </w:rPr>
        <w:t xml:space="preserve"> </w:t>
      </w:r>
      <w:proofErr w:type="spellStart"/>
      <w:r w:rsidR="00E65D0E" w:rsidRPr="007263E1">
        <w:rPr>
          <w:rFonts w:ascii="Times New Roman" w:hAnsi="Times New Roman" w:cs="Times New Roman"/>
        </w:rPr>
        <w:t>Pusat</w:t>
      </w:r>
      <w:proofErr w:type="spellEnd"/>
      <w:r w:rsidR="00E65D0E" w:rsidRPr="007263E1">
        <w:rPr>
          <w:rFonts w:ascii="Times New Roman" w:hAnsi="Times New Roman" w:cs="Times New Roman"/>
        </w:rPr>
        <w:t xml:space="preserve"> </w:t>
      </w:r>
      <w:proofErr w:type="spellStart"/>
      <w:r w:rsidR="00E65D0E" w:rsidRPr="007263E1">
        <w:rPr>
          <w:rFonts w:ascii="Times New Roman" w:hAnsi="Times New Roman" w:cs="Times New Roman"/>
        </w:rPr>
        <w:t>Terpadu</w:t>
      </w:r>
      <w:proofErr w:type="spellEnd"/>
      <w:r w:rsidR="00E65D0E" w:rsidRPr="007263E1">
        <w:rPr>
          <w:rFonts w:ascii="Times New Roman" w:hAnsi="Times New Roman" w:cs="Times New Roman"/>
        </w:rPr>
        <w:t xml:space="preserve"> (GBPT)</w:t>
      </w:r>
      <w:r w:rsidRPr="007263E1">
        <w:rPr>
          <w:rFonts w:ascii="Times New Roman" w:hAnsi="Times New Roman" w:cs="Times New Roman"/>
        </w:rPr>
        <w:t xml:space="preserve"> that is specializing it self  in providing care services moderate and severe case, which is part of the comprehensive work</w:t>
      </w:r>
      <w:r w:rsidR="002F0658" w:rsidRPr="007263E1">
        <w:rPr>
          <w:rFonts w:ascii="Times New Roman" w:hAnsi="Times New Roman" w:cs="Times New Roman"/>
        </w:rPr>
        <w:t xml:space="preserve"> flow management</w:t>
      </w:r>
      <w:r w:rsidRPr="007263E1">
        <w:rPr>
          <w:rFonts w:ascii="Times New Roman" w:hAnsi="Times New Roman" w:cs="Times New Roman"/>
        </w:rPr>
        <w:t xml:space="preserve">. </w:t>
      </w:r>
      <w:proofErr w:type="spellStart"/>
      <w:r w:rsidRPr="007263E1">
        <w:rPr>
          <w:rFonts w:ascii="Times New Roman" w:hAnsi="Times New Roman" w:cs="Times New Roman"/>
        </w:rPr>
        <w:t>Combus</w:t>
      </w:r>
      <w:proofErr w:type="spellEnd"/>
      <w:r w:rsidRPr="007263E1">
        <w:rPr>
          <w:rFonts w:ascii="Times New Roman" w:hAnsi="Times New Roman" w:cs="Times New Roman"/>
        </w:rPr>
        <w:t xml:space="preserve"> G ward is a surgical ward caring with burns of that have been stable, has passed the </w:t>
      </w:r>
      <w:proofErr w:type="spellStart"/>
      <w:r w:rsidRPr="007263E1">
        <w:rPr>
          <w:rFonts w:ascii="Times New Roman" w:hAnsi="Times New Roman" w:cs="Times New Roman"/>
        </w:rPr>
        <w:t>subacute</w:t>
      </w:r>
      <w:proofErr w:type="spellEnd"/>
      <w:r w:rsidRPr="007263E1">
        <w:rPr>
          <w:rFonts w:ascii="Times New Roman" w:hAnsi="Times New Roman" w:cs="Times New Roman"/>
        </w:rPr>
        <w:t xml:space="preserve"> phase, undergoing treatment either nor surgical treatments and patients who still require for surgery such as skin graft, flap or other action.  By </w:t>
      </w:r>
      <w:proofErr w:type="gramStart"/>
      <w:r w:rsidRPr="007263E1">
        <w:rPr>
          <w:rFonts w:ascii="Times New Roman" w:hAnsi="Times New Roman" w:cs="Times New Roman"/>
        </w:rPr>
        <w:t>providing  excellence</w:t>
      </w:r>
      <w:proofErr w:type="gramEnd"/>
      <w:r w:rsidRPr="007263E1">
        <w:rPr>
          <w:rFonts w:ascii="Times New Roman" w:hAnsi="Times New Roman" w:cs="Times New Roman"/>
        </w:rPr>
        <w:t xml:space="preserve"> and integrated services, hopefully the rate of morbidity, </w:t>
      </w:r>
      <w:r w:rsidRPr="007263E1">
        <w:rPr>
          <w:rFonts w:ascii="Times New Roman" w:hAnsi="Times New Roman" w:cs="Times New Roman"/>
        </w:rPr>
        <w:lastRenderedPageBreak/>
        <w:t>mortality, permanent disability caused by burn can be reduce significantly.</w:t>
      </w:r>
    </w:p>
    <w:p w14:paraId="017F2C64" w14:textId="77777777" w:rsidR="004E44AA" w:rsidRPr="007263E1" w:rsidRDefault="004E44AA" w:rsidP="00631AE2">
      <w:pPr>
        <w:jc w:val="both"/>
        <w:rPr>
          <w:rFonts w:ascii="Times New Roman" w:hAnsi="Times New Roman" w:cs="Times New Roman"/>
          <w:color w:val="FF0000"/>
        </w:rPr>
      </w:pPr>
      <w:r w:rsidRPr="007263E1">
        <w:rPr>
          <w:rFonts w:ascii="Times New Roman" w:hAnsi="Times New Roman" w:cs="Times New Roman"/>
        </w:rPr>
        <w:t>To increase the quality and to optimize the role of burn unit, regular evaluation and continuous improvement of human resources in needed</w:t>
      </w:r>
      <w:r w:rsidR="006F5201" w:rsidRPr="007263E1">
        <w:rPr>
          <w:rFonts w:ascii="Times New Roman" w:hAnsi="Times New Roman" w:cs="Times New Roman"/>
        </w:rPr>
        <w:t xml:space="preserve">. Currently, 14 staff </w:t>
      </w:r>
      <w:r w:rsidRPr="007263E1">
        <w:rPr>
          <w:rFonts w:ascii="Times New Roman" w:hAnsi="Times New Roman" w:cs="Times New Roman"/>
        </w:rPr>
        <w:t xml:space="preserve">has been work in burn unit, consist of 9 well training nurses and 4 </w:t>
      </w:r>
      <w:proofErr w:type="spellStart"/>
      <w:r w:rsidRPr="007263E1">
        <w:rPr>
          <w:rFonts w:ascii="Times New Roman" w:hAnsi="Times New Roman" w:cs="Times New Roman"/>
        </w:rPr>
        <w:t>honouree</w:t>
      </w:r>
      <w:proofErr w:type="spellEnd"/>
      <w:r w:rsidRPr="007263E1">
        <w:rPr>
          <w:rFonts w:ascii="Times New Roman" w:hAnsi="Times New Roman" w:cs="Times New Roman"/>
        </w:rPr>
        <w:t xml:space="preserve"> employees who has basic training services in bur</w:t>
      </w:r>
      <w:r w:rsidR="006F5201" w:rsidRPr="007263E1">
        <w:rPr>
          <w:rFonts w:ascii="Times New Roman" w:hAnsi="Times New Roman" w:cs="Times New Roman"/>
        </w:rPr>
        <w:t>n</w:t>
      </w:r>
      <w:r w:rsidRPr="007263E1">
        <w:rPr>
          <w:rFonts w:ascii="Times New Roman" w:hAnsi="Times New Roman" w:cs="Times New Roman"/>
        </w:rPr>
        <w:t xml:space="preserve"> unit and one</w:t>
      </w:r>
      <w:r w:rsidRPr="007263E1">
        <w:rPr>
          <w:rFonts w:ascii="Times New Roman" w:hAnsi="Times New Roman" w:cs="Times New Roman"/>
          <w:color w:val="FF0000"/>
        </w:rPr>
        <w:t xml:space="preserve"> </w:t>
      </w:r>
      <w:r w:rsidRPr="007263E1">
        <w:rPr>
          <w:rFonts w:ascii="Times New Roman" w:hAnsi="Times New Roman" w:cs="Times New Roman"/>
          <w:color w:val="000000" w:themeColor="text1"/>
        </w:rPr>
        <w:t>as supporting staff. Service management for burn unit led by a senior</w:t>
      </w:r>
      <w:r w:rsidR="00631AE2" w:rsidRPr="007263E1">
        <w:rPr>
          <w:rFonts w:ascii="Times New Roman" w:hAnsi="Times New Roman" w:cs="Times New Roman"/>
          <w:color w:val="000000" w:themeColor="text1"/>
        </w:rPr>
        <w:t xml:space="preserve"> </w:t>
      </w:r>
      <w:r w:rsidRPr="007263E1">
        <w:rPr>
          <w:rFonts w:ascii="Times New Roman" w:hAnsi="Times New Roman" w:cs="Times New Roman"/>
          <w:color w:val="000000" w:themeColor="text1"/>
        </w:rPr>
        <w:t>staff of Plastic Surgery. In practical, all activities is carried out by the care burn tea</w:t>
      </w:r>
      <w:r w:rsidR="00631AE2" w:rsidRPr="007263E1">
        <w:rPr>
          <w:rFonts w:ascii="Times New Roman" w:hAnsi="Times New Roman" w:cs="Times New Roman"/>
          <w:color w:val="000000" w:themeColor="text1"/>
        </w:rPr>
        <w:t>m, consisting of</w:t>
      </w:r>
      <w:r w:rsidRPr="007263E1">
        <w:rPr>
          <w:rFonts w:ascii="Times New Roman" w:hAnsi="Times New Roman" w:cs="Times New Roman"/>
          <w:color w:val="000000" w:themeColor="text1"/>
        </w:rPr>
        <w:t xml:space="preserve"> </w:t>
      </w:r>
      <w:r w:rsidR="00631AE2" w:rsidRPr="007263E1">
        <w:rPr>
          <w:rFonts w:ascii="Times New Roman" w:hAnsi="Times New Roman" w:cs="Times New Roman"/>
          <w:color w:val="000000" w:themeColor="text1"/>
        </w:rPr>
        <w:t xml:space="preserve">student of </w:t>
      </w:r>
      <w:r w:rsidRPr="007263E1">
        <w:rPr>
          <w:rFonts w:ascii="Times New Roman" w:hAnsi="Times New Roman" w:cs="Times New Roman"/>
          <w:color w:val="000000" w:themeColor="text1"/>
        </w:rPr>
        <w:t xml:space="preserve">Plastic Surgery, </w:t>
      </w:r>
      <w:r w:rsidR="00631AE2" w:rsidRPr="007263E1">
        <w:rPr>
          <w:rFonts w:ascii="Times New Roman" w:hAnsi="Times New Roman" w:cs="Times New Roman"/>
          <w:color w:val="000000" w:themeColor="text1"/>
        </w:rPr>
        <w:t>student of Basic Surgery, burn unit nurses, student of A</w:t>
      </w:r>
      <w:r w:rsidRPr="007263E1">
        <w:rPr>
          <w:rFonts w:ascii="Times New Roman" w:hAnsi="Times New Roman" w:cs="Times New Roman"/>
          <w:color w:val="000000" w:themeColor="text1"/>
        </w:rPr>
        <w:t>nesthesia and other disciplines such as psychiatry, medical rehab</w:t>
      </w:r>
      <w:r w:rsidR="00631AE2" w:rsidRPr="007263E1">
        <w:rPr>
          <w:rFonts w:ascii="Times New Roman" w:hAnsi="Times New Roman" w:cs="Times New Roman"/>
          <w:color w:val="000000" w:themeColor="text1"/>
        </w:rPr>
        <w:t>ilitation</w:t>
      </w:r>
      <w:r w:rsidRPr="007263E1">
        <w:rPr>
          <w:rFonts w:ascii="Times New Roman" w:hAnsi="Times New Roman" w:cs="Times New Roman"/>
          <w:color w:val="000000" w:themeColor="text1"/>
        </w:rPr>
        <w:t xml:space="preserve"> and other. </w:t>
      </w:r>
    </w:p>
    <w:p w14:paraId="06D6B03A" w14:textId="77777777" w:rsidR="004E44AA" w:rsidRPr="007263E1" w:rsidRDefault="004E44AA" w:rsidP="00631AE2">
      <w:pPr>
        <w:jc w:val="both"/>
        <w:rPr>
          <w:rFonts w:ascii="Times New Roman" w:hAnsi="Times New Roman" w:cs="Times New Roman"/>
        </w:rPr>
      </w:pPr>
      <w:r w:rsidRPr="007263E1">
        <w:rPr>
          <w:rFonts w:ascii="Times New Roman" w:hAnsi="Times New Roman" w:cs="Times New Roman"/>
        </w:rPr>
        <w:t xml:space="preserve">The mortality rate year 2002 was 32,2% and for the extensive wound more that 50%, the percentage shown 59,8%. Compare to data from Singapore General Hospital’s Burn Centre, in year 2001 the mortality rate in case of extensive burns 3-95% is 3%, therefore the mortality rate in </w:t>
      </w:r>
      <w:r w:rsidR="00631AE2" w:rsidRPr="007263E1">
        <w:rPr>
          <w:rFonts w:ascii="Times New Roman" w:hAnsi="Times New Roman" w:cs="Times New Roman"/>
        </w:rPr>
        <w:t xml:space="preserve">Dr </w:t>
      </w:r>
      <w:proofErr w:type="spellStart"/>
      <w:r w:rsidR="00631AE2" w:rsidRPr="007263E1">
        <w:rPr>
          <w:rFonts w:ascii="Times New Roman" w:hAnsi="Times New Roman" w:cs="Times New Roman"/>
        </w:rPr>
        <w:t>Soetomo</w:t>
      </w:r>
      <w:proofErr w:type="spellEnd"/>
      <w:r w:rsidR="00631AE2" w:rsidRPr="007263E1">
        <w:rPr>
          <w:rFonts w:ascii="Times New Roman" w:hAnsi="Times New Roman" w:cs="Times New Roman"/>
        </w:rPr>
        <w:t xml:space="preserve"> </w:t>
      </w:r>
      <w:r w:rsidR="00E65D0E" w:rsidRPr="007263E1">
        <w:rPr>
          <w:rFonts w:ascii="Times New Roman" w:hAnsi="Times New Roman" w:cs="Times New Roman"/>
        </w:rPr>
        <w:t xml:space="preserve">General </w:t>
      </w:r>
      <w:r w:rsidR="00631AE2" w:rsidRPr="007263E1">
        <w:rPr>
          <w:rFonts w:ascii="Times New Roman" w:hAnsi="Times New Roman" w:cs="Times New Roman"/>
        </w:rPr>
        <w:t>Hospital</w:t>
      </w:r>
      <w:r w:rsidRPr="007263E1">
        <w:rPr>
          <w:rFonts w:ascii="Times New Roman" w:hAnsi="Times New Roman" w:cs="Times New Roman"/>
        </w:rPr>
        <w:t xml:space="preserve"> was higher.</w:t>
      </w:r>
    </w:p>
    <w:p w14:paraId="753367E0" w14:textId="77777777" w:rsidR="007E5468" w:rsidRPr="007263E1" w:rsidRDefault="004E44AA" w:rsidP="00631AE2">
      <w:pPr>
        <w:jc w:val="both"/>
        <w:rPr>
          <w:rFonts w:ascii="Times New Roman" w:hAnsi="Times New Roman" w:cs="Times New Roman"/>
        </w:rPr>
      </w:pPr>
      <w:r w:rsidRPr="007263E1">
        <w:rPr>
          <w:rFonts w:ascii="Times New Roman" w:hAnsi="Times New Roman" w:cs="Times New Roman"/>
        </w:rPr>
        <w:t>This research will evaluate the care of burn wound in th</w:t>
      </w:r>
      <w:r w:rsidR="00631AE2" w:rsidRPr="007263E1">
        <w:rPr>
          <w:rFonts w:ascii="Times New Roman" w:hAnsi="Times New Roman" w:cs="Times New Roman"/>
        </w:rPr>
        <w:t>e last 5 years, in</w:t>
      </w:r>
      <w:r w:rsidRPr="007263E1">
        <w:rPr>
          <w:rFonts w:ascii="Times New Roman" w:hAnsi="Times New Roman" w:cs="Times New Roman"/>
        </w:rPr>
        <w:t xml:space="preserve"> 2007 to 2011 </w:t>
      </w:r>
      <w:r w:rsidRPr="007263E1">
        <w:rPr>
          <w:rFonts w:ascii="Times New Roman" w:hAnsi="Times New Roman" w:cs="Times New Roman"/>
        </w:rPr>
        <w:lastRenderedPageBreak/>
        <w:t xml:space="preserve">retrospectively. The purpose of this research is to identify </w:t>
      </w:r>
      <w:r w:rsidR="00631AE2" w:rsidRPr="007263E1">
        <w:rPr>
          <w:rFonts w:ascii="Times New Roman" w:hAnsi="Times New Roman" w:cs="Times New Roman"/>
        </w:rPr>
        <w:t>the appearance of burn patients</w:t>
      </w:r>
      <w:r w:rsidRPr="007263E1">
        <w:rPr>
          <w:rFonts w:ascii="Times New Roman" w:hAnsi="Times New Roman" w:cs="Times New Roman"/>
        </w:rPr>
        <w:t>, to evaluate the quality of services in burn unit and to provide a current picture as reference in reducing morbidity, mortality and disability.</w:t>
      </w:r>
    </w:p>
    <w:p w14:paraId="5024FAAA" w14:textId="77777777" w:rsidR="00631AE2" w:rsidRPr="007263E1" w:rsidRDefault="00631AE2" w:rsidP="00631AE2">
      <w:pPr>
        <w:jc w:val="both"/>
        <w:rPr>
          <w:rFonts w:ascii="Times New Roman" w:hAnsi="Times New Roman" w:cs="Times New Roman"/>
        </w:rPr>
      </w:pPr>
    </w:p>
    <w:p w14:paraId="35B13EC6" w14:textId="77777777" w:rsidR="00631AE2" w:rsidRPr="007263E1" w:rsidRDefault="00631AE2" w:rsidP="00631AE2">
      <w:pPr>
        <w:jc w:val="both"/>
        <w:rPr>
          <w:rFonts w:ascii="Times New Roman" w:hAnsi="Times New Roman" w:cs="Times New Roman"/>
          <w:b/>
          <w:bCs/>
        </w:rPr>
      </w:pPr>
      <w:r w:rsidRPr="007263E1">
        <w:rPr>
          <w:rFonts w:ascii="Times New Roman" w:hAnsi="Times New Roman" w:cs="Times New Roman"/>
          <w:b/>
          <w:bCs/>
        </w:rPr>
        <w:t>MATERIALS AND METHODS</w:t>
      </w:r>
    </w:p>
    <w:p w14:paraId="6BC204CC" w14:textId="77777777" w:rsidR="00631AE2" w:rsidRPr="007263E1" w:rsidRDefault="00631AE2" w:rsidP="00631AE2">
      <w:pPr>
        <w:jc w:val="both"/>
        <w:rPr>
          <w:rFonts w:ascii="Times New Roman" w:hAnsi="Times New Roman" w:cs="Times New Roman"/>
          <w:bCs/>
        </w:rPr>
      </w:pPr>
    </w:p>
    <w:p w14:paraId="0D3F0245" w14:textId="77777777" w:rsidR="00F821AE" w:rsidRPr="007263E1" w:rsidRDefault="00F821AE" w:rsidP="00631AE2">
      <w:pPr>
        <w:jc w:val="both"/>
        <w:rPr>
          <w:rFonts w:ascii="Times New Roman" w:hAnsi="Times New Roman" w:cs="Times New Roman"/>
        </w:rPr>
      </w:pPr>
      <w:r w:rsidRPr="007263E1">
        <w:rPr>
          <w:rFonts w:ascii="Times New Roman" w:hAnsi="Times New Roman" w:cs="Times New Roman"/>
        </w:rPr>
        <w:t>Research has bee</w:t>
      </w:r>
      <w:r w:rsidR="00E65D0E" w:rsidRPr="007263E1">
        <w:rPr>
          <w:rFonts w:ascii="Times New Roman" w:hAnsi="Times New Roman" w:cs="Times New Roman"/>
        </w:rPr>
        <w:t xml:space="preserve">n done in Burn Unit </w:t>
      </w:r>
      <w:r w:rsidRPr="007263E1">
        <w:rPr>
          <w:rFonts w:ascii="Times New Roman" w:hAnsi="Times New Roman" w:cs="Times New Roman"/>
        </w:rPr>
        <w:t xml:space="preserve">Dr. </w:t>
      </w:r>
      <w:proofErr w:type="spellStart"/>
      <w:r w:rsidRPr="007263E1">
        <w:rPr>
          <w:rFonts w:ascii="Times New Roman" w:hAnsi="Times New Roman" w:cs="Times New Roman"/>
        </w:rPr>
        <w:t>Soetomo</w:t>
      </w:r>
      <w:proofErr w:type="spellEnd"/>
      <w:r w:rsidR="00E65D0E" w:rsidRPr="007263E1">
        <w:rPr>
          <w:rFonts w:ascii="Times New Roman" w:hAnsi="Times New Roman" w:cs="Times New Roman"/>
        </w:rPr>
        <w:t xml:space="preserve"> General Hospital</w:t>
      </w:r>
      <w:r w:rsidRPr="007263E1">
        <w:rPr>
          <w:rFonts w:ascii="Times New Roman" w:hAnsi="Times New Roman" w:cs="Times New Roman"/>
        </w:rPr>
        <w:t xml:space="preserve"> during</w:t>
      </w:r>
      <w:r w:rsidR="00BF4D9C" w:rsidRPr="007263E1">
        <w:rPr>
          <w:rFonts w:ascii="Times New Roman" w:hAnsi="Times New Roman" w:cs="Times New Roman"/>
        </w:rPr>
        <w:t xml:space="preserve"> January 2007 to December 20</w:t>
      </w:r>
      <w:r w:rsidRPr="007263E1">
        <w:rPr>
          <w:rFonts w:ascii="Times New Roman" w:hAnsi="Times New Roman" w:cs="Times New Roman"/>
        </w:rPr>
        <w:t xml:space="preserve">11. </w:t>
      </w:r>
      <w:proofErr w:type="gramStart"/>
      <w:r w:rsidRPr="007263E1">
        <w:rPr>
          <w:rFonts w:ascii="Times New Roman" w:hAnsi="Times New Roman" w:cs="Times New Roman"/>
        </w:rPr>
        <w:t>Sample were</w:t>
      </w:r>
      <w:proofErr w:type="gramEnd"/>
      <w:r w:rsidRPr="007263E1">
        <w:rPr>
          <w:rFonts w:ascii="Times New Roman" w:hAnsi="Times New Roman" w:cs="Times New Roman"/>
        </w:rPr>
        <w:t xml:space="preserve"> taken to all patient in burn unit who</w:t>
      </w:r>
      <w:r w:rsidR="00E65D0E" w:rsidRPr="007263E1">
        <w:rPr>
          <w:rFonts w:ascii="Times New Roman" w:hAnsi="Times New Roman" w:cs="Times New Roman"/>
        </w:rPr>
        <w:t xml:space="preserve"> were treated in</w:t>
      </w:r>
      <w:r w:rsidRPr="007263E1">
        <w:rPr>
          <w:rFonts w:ascii="Times New Roman" w:hAnsi="Times New Roman" w:cs="Times New Roman"/>
        </w:rPr>
        <w:t xml:space="preserve"> Dr</w:t>
      </w:r>
      <w:r w:rsidR="00E65D0E" w:rsidRPr="007263E1">
        <w:rPr>
          <w:rFonts w:ascii="Times New Roman" w:hAnsi="Times New Roman" w:cs="Times New Roman"/>
        </w:rPr>
        <w:t>.</w:t>
      </w:r>
      <w:r w:rsidRPr="007263E1">
        <w:rPr>
          <w:rFonts w:ascii="Times New Roman" w:hAnsi="Times New Roman" w:cs="Times New Roman"/>
        </w:rPr>
        <w:t xml:space="preserve"> </w:t>
      </w:r>
      <w:proofErr w:type="spellStart"/>
      <w:r w:rsidRPr="007263E1">
        <w:rPr>
          <w:rFonts w:ascii="Times New Roman" w:hAnsi="Times New Roman" w:cs="Times New Roman"/>
        </w:rPr>
        <w:t>Soetomo</w:t>
      </w:r>
      <w:proofErr w:type="spellEnd"/>
      <w:r w:rsidR="00E65D0E" w:rsidRPr="007263E1">
        <w:rPr>
          <w:rFonts w:ascii="Times New Roman" w:hAnsi="Times New Roman" w:cs="Times New Roman"/>
        </w:rPr>
        <w:t xml:space="preserve"> General Hospital</w:t>
      </w:r>
      <w:r w:rsidRPr="007263E1">
        <w:rPr>
          <w:rFonts w:ascii="Times New Roman" w:hAnsi="Times New Roman" w:cs="Times New Roman"/>
        </w:rPr>
        <w:t xml:space="preserve"> at the same period. Sample population consisted of all patients who came to emergency unit at the same period. The data consisted of age, gender, address, etiology, inhalation trauma and result of given treatment. The method of this research is analytical observation by collecting retrospective data through medical records of patients treated at burns unit. Data are presented descriptively and we</w:t>
      </w:r>
      <w:r w:rsidR="00E65D0E" w:rsidRPr="007263E1">
        <w:rPr>
          <w:rFonts w:ascii="Times New Roman" w:hAnsi="Times New Roman" w:cs="Times New Roman"/>
        </w:rPr>
        <w:t>re analyzed statistically with c</w:t>
      </w:r>
      <w:r w:rsidRPr="007263E1">
        <w:rPr>
          <w:rFonts w:ascii="Times New Roman" w:hAnsi="Times New Roman" w:cs="Times New Roman"/>
        </w:rPr>
        <w:t>hi-square and a symmetric measure test</w:t>
      </w:r>
      <w:r w:rsidR="00A6445C" w:rsidRPr="007263E1">
        <w:rPr>
          <w:rFonts w:ascii="Times New Roman" w:hAnsi="Times New Roman" w:cs="Times New Roman"/>
        </w:rPr>
        <w:t>. Research include</w:t>
      </w:r>
      <w:r w:rsidRPr="007263E1">
        <w:rPr>
          <w:rFonts w:ascii="Times New Roman" w:hAnsi="Times New Roman" w:cs="Times New Roman"/>
        </w:rPr>
        <w:t xml:space="preserve">: (1) domicile of </w:t>
      </w:r>
      <w:r w:rsidRPr="007263E1">
        <w:rPr>
          <w:rFonts w:ascii="Times New Roman" w:hAnsi="Times New Roman" w:cs="Times New Roman"/>
        </w:rPr>
        <w:lastRenderedPageBreak/>
        <w:t>patient, (2) sex of patient (3) causes of severe burns in incident year (4) causes of burns in the age group by the year of occurrence (5) life expectancy based on causes of burns (6) life expectancy and the length of treatment (7) life expectancy with inhalation trauma, (8) pattern of bacteria by wound culture resu</w:t>
      </w:r>
      <w:r w:rsidR="00A6445C" w:rsidRPr="007263E1">
        <w:rPr>
          <w:rFonts w:ascii="Times New Roman" w:hAnsi="Times New Roman" w:cs="Times New Roman"/>
        </w:rPr>
        <w:t xml:space="preserve">lt (9) sensitivity and </w:t>
      </w:r>
      <w:proofErr w:type="spellStart"/>
      <w:r w:rsidR="00A6445C" w:rsidRPr="007263E1">
        <w:rPr>
          <w:rFonts w:ascii="Times New Roman" w:hAnsi="Times New Roman" w:cs="Times New Roman"/>
        </w:rPr>
        <w:t>resistan</w:t>
      </w:r>
      <w:r w:rsidRPr="007263E1">
        <w:rPr>
          <w:rFonts w:ascii="Times New Roman" w:hAnsi="Times New Roman" w:cs="Times New Roman"/>
        </w:rPr>
        <w:t>cy</w:t>
      </w:r>
      <w:proofErr w:type="spellEnd"/>
      <w:r w:rsidRPr="007263E1">
        <w:rPr>
          <w:rFonts w:ascii="Times New Roman" w:hAnsi="Times New Roman" w:cs="Times New Roman"/>
        </w:rPr>
        <w:t xml:space="preserve"> of germs to antibiotics.</w:t>
      </w:r>
    </w:p>
    <w:p w14:paraId="4546C3CB" w14:textId="77777777" w:rsidR="00F821AE" w:rsidRPr="007263E1" w:rsidRDefault="00F821AE" w:rsidP="00631AE2">
      <w:pPr>
        <w:jc w:val="both"/>
        <w:rPr>
          <w:rFonts w:ascii="Times New Roman" w:hAnsi="Times New Roman" w:cs="Times New Roman"/>
        </w:rPr>
      </w:pPr>
    </w:p>
    <w:p w14:paraId="46D21B76" w14:textId="77777777" w:rsidR="00F821AE" w:rsidRPr="007263E1" w:rsidRDefault="00D91057" w:rsidP="00631AE2">
      <w:pPr>
        <w:jc w:val="both"/>
        <w:rPr>
          <w:rFonts w:ascii="Times New Roman" w:hAnsi="Times New Roman" w:cs="Times New Roman"/>
          <w:b/>
        </w:rPr>
      </w:pPr>
      <w:r w:rsidRPr="007263E1">
        <w:rPr>
          <w:rFonts w:ascii="Times New Roman" w:hAnsi="Times New Roman" w:cs="Times New Roman"/>
          <w:b/>
        </w:rPr>
        <w:t>RESULTS</w:t>
      </w:r>
    </w:p>
    <w:p w14:paraId="05745A1C" w14:textId="77777777" w:rsidR="00D91057" w:rsidRPr="007263E1" w:rsidRDefault="00D91057" w:rsidP="00631AE2">
      <w:pPr>
        <w:jc w:val="both"/>
        <w:rPr>
          <w:rFonts w:ascii="Times New Roman" w:hAnsi="Times New Roman" w:cs="Times New Roman"/>
        </w:rPr>
      </w:pPr>
    </w:p>
    <w:p w14:paraId="5BB18849" w14:textId="77777777" w:rsidR="00B50CA1" w:rsidRDefault="00D91057" w:rsidP="00B50CA1">
      <w:pPr>
        <w:jc w:val="both"/>
        <w:rPr>
          <w:rFonts w:ascii="Times New Roman" w:hAnsi="Times New Roman" w:cs="Times New Roman"/>
        </w:rPr>
      </w:pPr>
      <w:r w:rsidRPr="007263E1">
        <w:rPr>
          <w:rFonts w:ascii="Times New Roman" w:hAnsi="Times New Roman" w:cs="Times New Roman"/>
        </w:rPr>
        <w:t xml:space="preserve">Results revealed 665 burn patients who were treated in burn unit and G ward of Dr. </w:t>
      </w:r>
      <w:proofErr w:type="spellStart"/>
      <w:r w:rsidRPr="007263E1">
        <w:rPr>
          <w:rFonts w:ascii="Times New Roman" w:hAnsi="Times New Roman" w:cs="Times New Roman"/>
        </w:rPr>
        <w:t>S</w:t>
      </w:r>
      <w:r w:rsidR="00BF4D9C" w:rsidRPr="007263E1">
        <w:rPr>
          <w:rFonts w:ascii="Times New Roman" w:hAnsi="Times New Roman" w:cs="Times New Roman"/>
        </w:rPr>
        <w:t>oetomo</w:t>
      </w:r>
      <w:proofErr w:type="spellEnd"/>
      <w:r w:rsidR="00BF4D9C" w:rsidRPr="007263E1">
        <w:rPr>
          <w:rFonts w:ascii="Times New Roman" w:hAnsi="Times New Roman" w:cs="Times New Roman"/>
        </w:rPr>
        <w:t xml:space="preserve"> General Hospital from January 2007 to December 2011 with total patients came from Surabaya of</w:t>
      </w:r>
      <w:r w:rsidR="00EA6459" w:rsidRPr="007263E1">
        <w:rPr>
          <w:rFonts w:ascii="Times New Roman" w:hAnsi="Times New Roman" w:cs="Times New Roman"/>
        </w:rPr>
        <w:t xml:space="preserve"> </w:t>
      </w:r>
      <w:r w:rsidR="00B834F6" w:rsidRPr="007263E1">
        <w:rPr>
          <w:rFonts w:ascii="Times New Roman" w:hAnsi="Times New Roman" w:cs="Times New Roman"/>
        </w:rPr>
        <w:t xml:space="preserve">408 (61.4%) patients and those </w:t>
      </w:r>
      <w:r w:rsidR="00B50CA1">
        <w:rPr>
          <w:rFonts w:ascii="Times New Roman" w:hAnsi="Times New Roman" w:cs="Times New Roman"/>
        </w:rPr>
        <w:t xml:space="preserve"> from  outer  Surabaya  257  (38.6%)</w:t>
      </w:r>
    </w:p>
    <w:p w14:paraId="44C6477D" w14:textId="77777777" w:rsidR="00B50CA1" w:rsidRDefault="00B834F6" w:rsidP="00B50CA1">
      <w:pPr>
        <w:jc w:val="left"/>
        <w:rPr>
          <w:rFonts w:ascii="Times New Roman" w:hAnsi="Times New Roman" w:cs="Times New Roman"/>
        </w:rPr>
      </w:pPr>
      <w:proofErr w:type="gramStart"/>
      <w:r w:rsidRPr="007263E1">
        <w:rPr>
          <w:rFonts w:ascii="Times New Roman" w:hAnsi="Times New Roman" w:cs="Times New Roman"/>
        </w:rPr>
        <w:t>patients</w:t>
      </w:r>
      <w:proofErr w:type="gramEnd"/>
      <w:r w:rsidRPr="007263E1">
        <w:rPr>
          <w:rFonts w:ascii="Times New Roman" w:hAnsi="Times New Roman" w:cs="Times New Roman"/>
        </w:rPr>
        <w:t xml:space="preserve">. </w:t>
      </w:r>
      <w:proofErr w:type="gramStart"/>
      <w:r w:rsidRPr="007263E1">
        <w:rPr>
          <w:rFonts w:ascii="Times New Roman" w:hAnsi="Times New Roman" w:cs="Times New Roman"/>
        </w:rPr>
        <w:t>(Table 1).</w:t>
      </w:r>
      <w:proofErr w:type="gramEnd"/>
    </w:p>
    <w:p w14:paraId="05B160A1" w14:textId="77777777" w:rsidR="00B50CA1" w:rsidRDefault="00B50CA1" w:rsidP="00B50CA1">
      <w:pPr>
        <w:jc w:val="both"/>
        <w:rPr>
          <w:rFonts w:ascii="Times New Roman" w:hAnsi="Times New Roman" w:cs="Times New Roman"/>
        </w:rPr>
      </w:pPr>
      <w:r w:rsidRPr="007263E1">
        <w:rPr>
          <w:rFonts w:ascii="Times New Roman" w:hAnsi="Times New Roman" w:cs="Times New Roman"/>
        </w:rPr>
        <w:t>Most of the patients were male, consisting of 431 (64.8%) individuals, and the rest, 234 (35.2%), were female, thus showing a male-to-</w:t>
      </w:r>
    </w:p>
    <w:p w14:paraId="00D4A848" w14:textId="77777777" w:rsidR="00B50CA1" w:rsidRDefault="00B50CA1" w:rsidP="00B50CA1">
      <w:pPr>
        <w:jc w:val="left"/>
        <w:rPr>
          <w:rFonts w:ascii="Times New Roman" w:hAnsi="Times New Roman" w:cs="Times New Roman"/>
        </w:rPr>
        <w:sectPr w:rsidR="00B50CA1" w:rsidSect="00B50CA1">
          <w:type w:val="continuous"/>
          <w:pgSz w:w="11907" w:h="16839" w:code="9"/>
          <w:pgMar w:top="1440" w:right="1440" w:bottom="1440" w:left="1440" w:header="720" w:footer="720" w:gutter="0"/>
          <w:cols w:num="2" w:space="720"/>
          <w:docGrid w:linePitch="360"/>
        </w:sectPr>
      </w:pPr>
      <w:proofErr w:type="gramStart"/>
      <w:r w:rsidRPr="007263E1">
        <w:rPr>
          <w:rFonts w:ascii="Times New Roman" w:hAnsi="Times New Roman" w:cs="Times New Roman"/>
        </w:rPr>
        <w:t>female</w:t>
      </w:r>
      <w:proofErr w:type="gramEnd"/>
      <w:r w:rsidRPr="007263E1">
        <w:rPr>
          <w:rFonts w:ascii="Times New Roman" w:hAnsi="Times New Roman" w:cs="Times New Roman"/>
        </w:rPr>
        <w:t xml:space="preserve"> ratio of 2:1. (</w:t>
      </w:r>
      <w:proofErr w:type="gramStart"/>
      <w:r w:rsidRPr="007263E1">
        <w:rPr>
          <w:rFonts w:ascii="Times New Roman" w:hAnsi="Times New Roman" w:cs="Times New Roman"/>
        </w:rPr>
        <w:t>table</w:t>
      </w:r>
      <w:proofErr w:type="gramEnd"/>
      <w:r w:rsidRPr="007263E1">
        <w:rPr>
          <w:rFonts w:ascii="Times New Roman" w:hAnsi="Times New Roman" w:cs="Times New Roman"/>
        </w:rPr>
        <w:t xml:space="preserve"> 2).</w:t>
      </w:r>
    </w:p>
    <w:p w14:paraId="79487093" w14:textId="77777777" w:rsidR="00D91057" w:rsidRPr="007263E1" w:rsidRDefault="00D91057" w:rsidP="00631AE2">
      <w:pPr>
        <w:jc w:val="both"/>
        <w:rPr>
          <w:rFonts w:ascii="Times New Roman" w:hAnsi="Times New Roman" w:cs="Times New Roman"/>
        </w:rPr>
      </w:pPr>
    </w:p>
    <w:p w14:paraId="6B13ADDD" w14:textId="77777777" w:rsidR="00BF4D9C" w:rsidRPr="007263E1" w:rsidRDefault="00BF4D9C" w:rsidP="00631AE2">
      <w:pPr>
        <w:jc w:val="both"/>
        <w:rPr>
          <w:rFonts w:ascii="Times New Roman" w:hAnsi="Times New Roman" w:cs="Times New Roman"/>
        </w:rPr>
      </w:pPr>
    </w:p>
    <w:p w14:paraId="6D01E367" w14:textId="77777777" w:rsidR="00EA6459" w:rsidRPr="007263E1" w:rsidRDefault="00EA6459" w:rsidP="00BF4D9C">
      <w:pPr>
        <w:spacing w:line="360" w:lineRule="auto"/>
        <w:jc w:val="both"/>
        <w:rPr>
          <w:rFonts w:ascii="Times New Roman" w:hAnsi="Times New Roman" w:cs="Times New Roman"/>
        </w:rPr>
      </w:pPr>
      <w:r w:rsidRPr="007263E1">
        <w:rPr>
          <w:rFonts w:ascii="Times New Roman" w:hAnsi="Times New Roman" w:cs="Times New Roman"/>
        </w:rPr>
        <w:t xml:space="preserve">Table 1. Residence distribution of burn patients and the years of incidence in Dr. </w:t>
      </w:r>
      <w:proofErr w:type="spellStart"/>
      <w:r w:rsidRPr="007263E1">
        <w:rPr>
          <w:rFonts w:ascii="Times New Roman" w:hAnsi="Times New Roman" w:cs="Times New Roman"/>
        </w:rPr>
        <w:t>Soetomo</w:t>
      </w:r>
      <w:proofErr w:type="spellEnd"/>
    </w:p>
    <w:p w14:paraId="7C7DEAD0" w14:textId="77777777" w:rsidR="00EA6459" w:rsidRPr="007263E1" w:rsidRDefault="00EA6459" w:rsidP="00B834F6">
      <w:pPr>
        <w:spacing w:line="360" w:lineRule="auto"/>
        <w:ind w:firstLine="720"/>
        <w:jc w:val="both"/>
        <w:rPr>
          <w:rFonts w:ascii="Times New Roman" w:hAnsi="Times New Roman" w:cs="Times New Roman"/>
        </w:rPr>
      </w:pPr>
      <w:r w:rsidRPr="007263E1">
        <w:rPr>
          <w:rFonts w:ascii="Times New Roman" w:hAnsi="Times New Roman" w:cs="Times New Roman"/>
        </w:rPr>
        <w:t xml:space="preserve">  General Hospital</w:t>
      </w:r>
    </w:p>
    <w:tbl>
      <w:tblPr>
        <w:tblStyle w:val="TableGrid"/>
        <w:tblW w:w="8190" w:type="dxa"/>
        <w:tblInd w:w="828" w:type="dxa"/>
        <w:tblLook w:val="04A0" w:firstRow="1" w:lastRow="0" w:firstColumn="1" w:lastColumn="0" w:noHBand="0" w:noVBand="1"/>
      </w:tblPr>
      <w:tblGrid>
        <w:gridCol w:w="862"/>
        <w:gridCol w:w="826"/>
        <w:gridCol w:w="1642"/>
        <w:gridCol w:w="810"/>
        <w:gridCol w:w="1440"/>
        <w:gridCol w:w="810"/>
        <w:gridCol w:w="990"/>
        <w:gridCol w:w="810"/>
      </w:tblGrid>
      <w:tr w:rsidR="00BF4D9C" w:rsidRPr="007263E1" w14:paraId="12A5048A" w14:textId="77777777" w:rsidTr="00821F9B">
        <w:tc>
          <w:tcPr>
            <w:tcW w:w="1688" w:type="dxa"/>
            <w:gridSpan w:val="2"/>
            <w:vMerge w:val="restart"/>
            <w:vAlign w:val="center"/>
          </w:tcPr>
          <w:p w14:paraId="05A62C45" w14:textId="77777777" w:rsidR="00BF4D9C" w:rsidRPr="007263E1" w:rsidRDefault="00BF4D9C" w:rsidP="00821F9B"/>
        </w:tc>
        <w:tc>
          <w:tcPr>
            <w:tcW w:w="4702" w:type="dxa"/>
            <w:gridSpan w:val="4"/>
            <w:vAlign w:val="center"/>
          </w:tcPr>
          <w:p w14:paraId="52FD0C89" w14:textId="77777777" w:rsidR="00BF4D9C" w:rsidRPr="007263E1" w:rsidRDefault="00BF4D9C" w:rsidP="00821F9B">
            <w:r w:rsidRPr="007263E1">
              <w:t>DOMICILE</w:t>
            </w:r>
          </w:p>
        </w:tc>
        <w:tc>
          <w:tcPr>
            <w:tcW w:w="990" w:type="dxa"/>
            <w:vMerge w:val="restart"/>
            <w:vAlign w:val="center"/>
          </w:tcPr>
          <w:p w14:paraId="50D6C9D2" w14:textId="77777777" w:rsidR="00BF4D9C" w:rsidRPr="007263E1" w:rsidRDefault="00BF4D9C" w:rsidP="00821F9B">
            <w:r w:rsidRPr="007263E1">
              <w:t>Total</w:t>
            </w:r>
          </w:p>
        </w:tc>
        <w:tc>
          <w:tcPr>
            <w:tcW w:w="810" w:type="dxa"/>
            <w:vMerge w:val="restart"/>
            <w:vAlign w:val="center"/>
          </w:tcPr>
          <w:p w14:paraId="5B096643" w14:textId="77777777" w:rsidR="00BF4D9C" w:rsidRPr="007263E1" w:rsidRDefault="00BF4D9C" w:rsidP="00821F9B">
            <w:r w:rsidRPr="007263E1">
              <w:t>%</w:t>
            </w:r>
          </w:p>
        </w:tc>
      </w:tr>
      <w:tr w:rsidR="00BF4D9C" w:rsidRPr="007263E1" w14:paraId="6903CFD2" w14:textId="77777777" w:rsidTr="00B834F6">
        <w:trPr>
          <w:trHeight w:val="269"/>
        </w:trPr>
        <w:tc>
          <w:tcPr>
            <w:tcW w:w="1688" w:type="dxa"/>
            <w:gridSpan w:val="2"/>
            <w:vMerge/>
            <w:vAlign w:val="center"/>
          </w:tcPr>
          <w:p w14:paraId="5FABE0B2" w14:textId="77777777" w:rsidR="00BF4D9C" w:rsidRPr="007263E1" w:rsidRDefault="00BF4D9C" w:rsidP="00821F9B"/>
        </w:tc>
        <w:tc>
          <w:tcPr>
            <w:tcW w:w="1642" w:type="dxa"/>
            <w:vAlign w:val="center"/>
          </w:tcPr>
          <w:p w14:paraId="5FD80034" w14:textId="77777777" w:rsidR="00BF4D9C" w:rsidRPr="007263E1" w:rsidRDefault="00EA6459" w:rsidP="00821F9B">
            <w:r w:rsidRPr="007263E1">
              <w:t xml:space="preserve">Outer </w:t>
            </w:r>
            <w:r w:rsidR="00BF4D9C" w:rsidRPr="007263E1">
              <w:t>Surabaya</w:t>
            </w:r>
          </w:p>
        </w:tc>
        <w:tc>
          <w:tcPr>
            <w:tcW w:w="810" w:type="dxa"/>
            <w:vAlign w:val="center"/>
          </w:tcPr>
          <w:p w14:paraId="7C8CA82C" w14:textId="77777777" w:rsidR="00BF4D9C" w:rsidRPr="007263E1" w:rsidRDefault="00BF4D9C" w:rsidP="00821F9B">
            <w:r w:rsidRPr="007263E1">
              <w:t>%</w:t>
            </w:r>
          </w:p>
        </w:tc>
        <w:tc>
          <w:tcPr>
            <w:tcW w:w="1440" w:type="dxa"/>
            <w:vAlign w:val="center"/>
          </w:tcPr>
          <w:p w14:paraId="3B1CA5A8" w14:textId="77777777" w:rsidR="00BF4D9C" w:rsidRPr="007263E1" w:rsidRDefault="00BF4D9C" w:rsidP="00821F9B">
            <w:r w:rsidRPr="007263E1">
              <w:t>Surabaya</w:t>
            </w:r>
          </w:p>
        </w:tc>
        <w:tc>
          <w:tcPr>
            <w:tcW w:w="810" w:type="dxa"/>
            <w:vAlign w:val="center"/>
          </w:tcPr>
          <w:p w14:paraId="550BF9AB" w14:textId="77777777" w:rsidR="00BF4D9C" w:rsidRPr="007263E1" w:rsidRDefault="00BF4D9C" w:rsidP="00821F9B">
            <w:r w:rsidRPr="007263E1">
              <w:t>%</w:t>
            </w:r>
          </w:p>
        </w:tc>
        <w:tc>
          <w:tcPr>
            <w:tcW w:w="990" w:type="dxa"/>
            <w:vMerge/>
            <w:vAlign w:val="center"/>
          </w:tcPr>
          <w:p w14:paraId="4775F494" w14:textId="77777777" w:rsidR="00BF4D9C" w:rsidRPr="007263E1" w:rsidRDefault="00BF4D9C" w:rsidP="00821F9B"/>
        </w:tc>
        <w:tc>
          <w:tcPr>
            <w:tcW w:w="810" w:type="dxa"/>
            <w:vMerge/>
          </w:tcPr>
          <w:p w14:paraId="1334BB58" w14:textId="77777777" w:rsidR="00BF4D9C" w:rsidRPr="007263E1" w:rsidRDefault="00BF4D9C" w:rsidP="00821F9B"/>
        </w:tc>
      </w:tr>
      <w:tr w:rsidR="00BF4D9C" w:rsidRPr="007263E1" w14:paraId="71D5A57B" w14:textId="77777777" w:rsidTr="00B834F6">
        <w:tc>
          <w:tcPr>
            <w:tcW w:w="862" w:type="dxa"/>
            <w:vMerge w:val="restart"/>
            <w:vAlign w:val="center"/>
          </w:tcPr>
          <w:p w14:paraId="5248959D" w14:textId="77777777" w:rsidR="00BF4D9C" w:rsidRPr="007263E1" w:rsidRDefault="00BF4D9C" w:rsidP="00821F9B">
            <w:r w:rsidRPr="007263E1">
              <w:t>Y</w:t>
            </w:r>
            <w:r w:rsidR="00A24525" w:rsidRPr="007263E1">
              <w:t>EAR</w:t>
            </w:r>
          </w:p>
        </w:tc>
        <w:tc>
          <w:tcPr>
            <w:tcW w:w="826" w:type="dxa"/>
            <w:vAlign w:val="center"/>
          </w:tcPr>
          <w:p w14:paraId="45A07835" w14:textId="77777777" w:rsidR="00BF4D9C" w:rsidRPr="007263E1" w:rsidRDefault="00BF4D9C" w:rsidP="00821F9B">
            <w:r w:rsidRPr="007263E1">
              <w:t>2007</w:t>
            </w:r>
          </w:p>
        </w:tc>
        <w:tc>
          <w:tcPr>
            <w:tcW w:w="1642" w:type="dxa"/>
            <w:vAlign w:val="center"/>
          </w:tcPr>
          <w:p w14:paraId="383070BB" w14:textId="77777777" w:rsidR="00BF4D9C" w:rsidRPr="007263E1" w:rsidRDefault="00BF4D9C" w:rsidP="00821F9B">
            <w:r w:rsidRPr="007263E1">
              <w:t>58</w:t>
            </w:r>
          </w:p>
        </w:tc>
        <w:tc>
          <w:tcPr>
            <w:tcW w:w="810" w:type="dxa"/>
            <w:vAlign w:val="center"/>
          </w:tcPr>
          <w:p w14:paraId="356189DB" w14:textId="77777777" w:rsidR="00BF4D9C" w:rsidRPr="007263E1" w:rsidRDefault="00BF4D9C" w:rsidP="00821F9B">
            <w:r w:rsidRPr="007263E1">
              <w:t>47.1</w:t>
            </w:r>
          </w:p>
        </w:tc>
        <w:tc>
          <w:tcPr>
            <w:tcW w:w="1440" w:type="dxa"/>
            <w:vAlign w:val="center"/>
          </w:tcPr>
          <w:p w14:paraId="79F25AD1" w14:textId="77777777" w:rsidR="00BF4D9C" w:rsidRPr="007263E1" w:rsidRDefault="00BF4D9C" w:rsidP="00821F9B">
            <w:r w:rsidRPr="007263E1">
              <w:t>65</w:t>
            </w:r>
          </w:p>
        </w:tc>
        <w:tc>
          <w:tcPr>
            <w:tcW w:w="810" w:type="dxa"/>
            <w:vAlign w:val="center"/>
          </w:tcPr>
          <w:p w14:paraId="6192EFF8" w14:textId="77777777" w:rsidR="00BF4D9C" w:rsidRPr="007263E1" w:rsidRDefault="00BF4D9C" w:rsidP="00821F9B">
            <w:r w:rsidRPr="007263E1">
              <w:t>52.9</w:t>
            </w:r>
          </w:p>
        </w:tc>
        <w:tc>
          <w:tcPr>
            <w:tcW w:w="990" w:type="dxa"/>
            <w:vAlign w:val="center"/>
          </w:tcPr>
          <w:p w14:paraId="5D0CFA99" w14:textId="77777777" w:rsidR="00BF4D9C" w:rsidRPr="007263E1" w:rsidRDefault="00BF4D9C" w:rsidP="00821F9B">
            <w:r w:rsidRPr="007263E1">
              <w:t>123</w:t>
            </w:r>
          </w:p>
        </w:tc>
        <w:tc>
          <w:tcPr>
            <w:tcW w:w="810" w:type="dxa"/>
          </w:tcPr>
          <w:p w14:paraId="55F6A2F0" w14:textId="77777777" w:rsidR="00BF4D9C" w:rsidRPr="007263E1" w:rsidRDefault="00BF4D9C" w:rsidP="00821F9B">
            <w:r w:rsidRPr="007263E1">
              <w:t>100</w:t>
            </w:r>
          </w:p>
        </w:tc>
      </w:tr>
      <w:tr w:rsidR="00BF4D9C" w:rsidRPr="007263E1" w14:paraId="7102E3E9" w14:textId="77777777" w:rsidTr="00B834F6">
        <w:tc>
          <w:tcPr>
            <w:tcW w:w="862" w:type="dxa"/>
            <w:vMerge/>
            <w:vAlign w:val="center"/>
          </w:tcPr>
          <w:p w14:paraId="2C3A46C9" w14:textId="77777777" w:rsidR="00BF4D9C" w:rsidRPr="007263E1" w:rsidRDefault="00BF4D9C" w:rsidP="00821F9B"/>
        </w:tc>
        <w:tc>
          <w:tcPr>
            <w:tcW w:w="826" w:type="dxa"/>
            <w:vAlign w:val="center"/>
          </w:tcPr>
          <w:p w14:paraId="52BA6476" w14:textId="77777777" w:rsidR="00BF4D9C" w:rsidRPr="007263E1" w:rsidRDefault="00BF4D9C" w:rsidP="00821F9B">
            <w:r w:rsidRPr="007263E1">
              <w:t>2008</w:t>
            </w:r>
          </w:p>
        </w:tc>
        <w:tc>
          <w:tcPr>
            <w:tcW w:w="1642" w:type="dxa"/>
            <w:vAlign w:val="center"/>
          </w:tcPr>
          <w:p w14:paraId="53ACDBBB" w14:textId="77777777" w:rsidR="00BF4D9C" w:rsidRPr="007263E1" w:rsidRDefault="00BF4D9C" w:rsidP="00821F9B">
            <w:r w:rsidRPr="007263E1">
              <w:t>54</w:t>
            </w:r>
          </w:p>
        </w:tc>
        <w:tc>
          <w:tcPr>
            <w:tcW w:w="810" w:type="dxa"/>
            <w:vAlign w:val="center"/>
          </w:tcPr>
          <w:p w14:paraId="29767F1C" w14:textId="77777777" w:rsidR="00BF4D9C" w:rsidRPr="007263E1" w:rsidRDefault="00BF4D9C" w:rsidP="00821F9B">
            <w:r w:rsidRPr="007263E1">
              <w:t>38.8</w:t>
            </w:r>
          </w:p>
        </w:tc>
        <w:tc>
          <w:tcPr>
            <w:tcW w:w="1440" w:type="dxa"/>
            <w:vAlign w:val="center"/>
          </w:tcPr>
          <w:p w14:paraId="41F71769" w14:textId="77777777" w:rsidR="00BF4D9C" w:rsidRPr="007263E1" w:rsidRDefault="00BF4D9C" w:rsidP="00821F9B">
            <w:r w:rsidRPr="007263E1">
              <w:t>85</w:t>
            </w:r>
          </w:p>
        </w:tc>
        <w:tc>
          <w:tcPr>
            <w:tcW w:w="810" w:type="dxa"/>
            <w:vAlign w:val="center"/>
          </w:tcPr>
          <w:p w14:paraId="3F49E080" w14:textId="77777777" w:rsidR="00BF4D9C" w:rsidRPr="007263E1" w:rsidRDefault="00BF4D9C" w:rsidP="00821F9B">
            <w:r w:rsidRPr="007263E1">
              <w:t>61.2</w:t>
            </w:r>
          </w:p>
        </w:tc>
        <w:tc>
          <w:tcPr>
            <w:tcW w:w="990" w:type="dxa"/>
            <w:vAlign w:val="center"/>
          </w:tcPr>
          <w:p w14:paraId="103661AC" w14:textId="77777777" w:rsidR="00BF4D9C" w:rsidRPr="007263E1" w:rsidRDefault="00BF4D9C" w:rsidP="00821F9B">
            <w:r w:rsidRPr="007263E1">
              <w:t>139</w:t>
            </w:r>
          </w:p>
        </w:tc>
        <w:tc>
          <w:tcPr>
            <w:tcW w:w="810" w:type="dxa"/>
          </w:tcPr>
          <w:p w14:paraId="114DCECA" w14:textId="77777777" w:rsidR="00BF4D9C" w:rsidRPr="007263E1" w:rsidRDefault="00BF4D9C" w:rsidP="00821F9B">
            <w:r w:rsidRPr="007263E1">
              <w:t>100</w:t>
            </w:r>
          </w:p>
        </w:tc>
      </w:tr>
      <w:tr w:rsidR="00BF4D9C" w:rsidRPr="007263E1" w14:paraId="215D7E81" w14:textId="77777777" w:rsidTr="00B834F6">
        <w:tc>
          <w:tcPr>
            <w:tcW w:w="862" w:type="dxa"/>
            <w:vMerge/>
            <w:vAlign w:val="center"/>
          </w:tcPr>
          <w:p w14:paraId="16EE5B42" w14:textId="77777777" w:rsidR="00BF4D9C" w:rsidRPr="007263E1" w:rsidRDefault="00BF4D9C" w:rsidP="00821F9B"/>
        </w:tc>
        <w:tc>
          <w:tcPr>
            <w:tcW w:w="826" w:type="dxa"/>
            <w:vAlign w:val="center"/>
          </w:tcPr>
          <w:p w14:paraId="512F9EF5" w14:textId="77777777" w:rsidR="00BF4D9C" w:rsidRPr="007263E1" w:rsidRDefault="00BF4D9C" w:rsidP="00821F9B">
            <w:r w:rsidRPr="007263E1">
              <w:t>2009</w:t>
            </w:r>
          </w:p>
        </w:tc>
        <w:tc>
          <w:tcPr>
            <w:tcW w:w="1642" w:type="dxa"/>
            <w:vAlign w:val="center"/>
          </w:tcPr>
          <w:p w14:paraId="2AF20EBF" w14:textId="77777777" w:rsidR="00BF4D9C" w:rsidRPr="007263E1" w:rsidRDefault="00BF4D9C" w:rsidP="00821F9B">
            <w:r w:rsidRPr="007263E1">
              <w:t>55</w:t>
            </w:r>
          </w:p>
        </w:tc>
        <w:tc>
          <w:tcPr>
            <w:tcW w:w="810" w:type="dxa"/>
            <w:vAlign w:val="center"/>
          </w:tcPr>
          <w:p w14:paraId="232C84E3" w14:textId="77777777" w:rsidR="00BF4D9C" w:rsidRPr="007263E1" w:rsidRDefault="00BF4D9C" w:rsidP="00821F9B">
            <w:r w:rsidRPr="007263E1">
              <w:t>44.3</w:t>
            </w:r>
          </w:p>
        </w:tc>
        <w:tc>
          <w:tcPr>
            <w:tcW w:w="1440" w:type="dxa"/>
            <w:vAlign w:val="center"/>
          </w:tcPr>
          <w:p w14:paraId="7DF2C796" w14:textId="77777777" w:rsidR="00BF4D9C" w:rsidRPr="007263E1" w:rsidRDefault="00BF4D9C" w:rsidP="00821F9B">
            <w:r w:rsidRPr="007263E1">
              <w:t>69</w:t>
            </w:r>
          </w:p>
        </w:tc>
        <w:tc>
          <w:tcPr>
            <w:tcW w:w="810" w:type="dxa"/>
            <w:vAlign w:val="center"/>
          </w:tcPr>
          <w:p w14:paraId="65DFBE80" w14:textId="77777777" w:rsidR="00BF4D9C" w:rsidRPr="007263E1" w:rsidRDefault="00BF4D9C" w:rsidP="00821F9B">
            <w:r w:rsidRPr="007263E1">
              <w:t>55.7</w:t>
            </w:r>
          </w:p>
        </w:tc>
        <w:tc>
          <w:tcPr>
            <w:tcW w:w="990" w:type="dxa"/>
            <w:vAlign w:val="center"/>
          </w:tcPr>
          <w:p w14:paraId="539C1BD3" w14:textId="77777777" w:rsidR="00BF4D9C" w:rsidRPr="007263E1" w:rsidRDefault="00BF4D9C" w:rsidP="00821F9B">
            <w:r w:rsidRPr="007263E1">
              <w:t>124</w:t>
            </w:r>
          </w:p>
        </w:tc>
        <w:tc>
          <w:tcPr>
            <w:tcW w:w="810" w:type="dxa"/>
          </w:tcPr>
          <w:p w14:paraId="26E45A00" w14:textId="77777777" w:rsidR="00BF4D9C" w:rsidRPr="007263E1" w:rsidRDefault="00BF4D9C" w:rsidP="00821F9B">
            <w:r w:rsidRPr="007263E1">
              <w:t>100</w:t>
            </w:r>
          </w:p>
        </w:tc>
      </w:tr>
      <w:tr w:rsidR="00BF4D9C" w:rsidRPr="007263E1" w14:paraId="6EE13E40" w14:textId="77777777" w:rsidTr="00B834F6">
        <w:tc>
          <w:tcPr>
            <w:tcW w:w="862" w:type="dxa"/>
            <w:vMerge/>
            <w:vAlign w:val="center"/>
          </w:tcPr>
          <w:p w14:paraId="1ACADFCD" w14:textId="77777777" w:rsidR="00BF4D9C" w:rsidRPr="007263E1" w:rsidRDefault="00BF4D9C" w:rsidP="00821F9B"/>
        </w:tc>
        <w:tc>
          <w:tcPr>
            <w:tcW w:w="826" w:type="dxa"/>
            <w:vAlign w:val="center"/>
          </w:tcPr>
          <w:p w14:paraId="73F87324" w14:textId="77777777" w:rsidR="00BF4D9C" w:rsidRPr="007263E1" w:rsidRDefault="00BF4D9C" w:rsidP="00821F9B">
            <w:r w:rsidRPr="007263E1">
              <w:t>2010</w:t>
            </w:r>
          </w:p>
        </w:tc>
        <w:tc>
          <w:tcPr>
            <w:tcW w:w="1642" w:type="dxa"/>
            <w:vAlign w:val="center"/>
          </w:tcPr>
          <w:p w14:paraId="1D662AB6" w14:textId="77777777" w:rsidR="00BF4D9C" w:rsidRPr="007263E1" w:rsidRDefault="00BF4D9C" w:rsidP="00821F9B">
            <w:r w:rsidRPr="007263E1">
              <w:t>51</w:t>
            </w:r>
          </w:p>
        </w:tc>
        <w:tc>
          <w:tcPr>
            <w:tcW w:w="810" w:type="dxa"/>
            <w:vAlign w:val="center"/>
          </w:tcPr>
          <w:p w14:paraId="73813AB1" w14:textId="77777777" w:rsidR="00BF4D9C" w:rsidRPr="007263E1" w:rsidRDefault="00BF4D9C" w:rsidP="00821F9B">
            <w:r w:rsidRPr="007263E1">
              <w:t>38</w:t>
            </w:r>
          </w:p>
        </w:tc>
        <w:tc>
          <w:tcPr>
            <w:tcW w:w="1440" w:type="dxa"/>
            <w:vAlign w:val="center"/>
          </w:tcPr>
          <w:p w14:paraId="3FB58971" w14:textId="77777777" w:rsidR="00BF4D9C" w:rsidRPr="007263E1" w:rsidRDefault="00BF4D9C" w:rsidP="00821F9B">
            <w:r w:rsidRPr="007263E1">
              <w:t>83</w:t>
            </w:r>
          </w:p>
        </w:tc>
        <w:tc>
          <w:tcPr>
            <w:tcW w:w="810" w:type="dxa"/>
            <w:vAlign w:val="center"/>
          </w:tcPr>
          <w:p w14:paraId="326698AE" w14:textId="77777777" w:rsidR="00BF4D9C" w:rsidRPr="007263E1" w:rsidRDefault="00BF4D9C" w:rsidP="00821F9B">
            <w:r w:rsidRPr="007263E1">
              <w:t>62</w:t>
            </w:r>
          </w:p>
        </w:tc>
        <w:tc>
          <w:tcPr>
            <w:tcW w:w="990" w:type="dxa"/>
            <w:vAlign w:val="center"/>
          </w:tcPr>
          <w:p w14:paraId="24FC22E1" w14:textId="77777777" w:rsidR="00BF4D9C" w:rsidRPr="007263E1" w:rsidRDefault="00BF4D9C" w:rsidP="00821F9B">
            <w:r w:rsidRPr="007263E1">
              <w:t>134</w:t>
            </w:r>
          </w:p>
        </w:tc>
        <w:tc>
          <w:tcPr>
            <w:tcW w:w="810" w:type="dxa"/>
          </w:tcPr>
          <w:p w14:paraId="77D2D924" w14:textId="77777777" w:rsidR="00BF4D9C" w:rsidRPr="007263E1" w:rsidRDefault="00BF4D9C" w:rsidP="00821F9B">
            <w:r w:rsidRPr="007263E1">
              <w:t>100</w:t>
            </w:r>
          </w:p>
        </w:tc>
      </w:tr>
      <w:tr w:rsidR="00BF4D9C" w:rsidRPr="007263E1" w14:paraId="035B8C08" w14:textId="77777777" w:rsidTr="00B834F6">
        <w:tc>
          <w:tcPr>
            <w:tcW w:w="862" w:type="dxa"/>
            <w:vMerge/>
            <w:vAlign w:val="center"/>
          </w:tcPr>
          <w:p w14:paraId="521E06F9" w14:textId="77777777" w:rsidR="00BF4D9C" w:rsidRPr="007263E1" w:rsidRDefault="00BF4D9C" w:rsidP="00821F9B"/>
        </w:tc>
        <w:tc>
          <w:tcPr>
            <w:tcW w:w="826" w:type="dxa"/>
            <w:vAlign w:val="center"/>
          </w:tcPr>
          <w:p w14:paraId="64FE63AF" w14:textId="77777777" w:rsidR="00BF4D9C" w:rsidRPr="007263E1" w:rsidRDefault="00BF4D9C" w:rsidP="00821F9B">
            <w:r w:rsidRPr="007263E1">
              <w:t>2011</w:t>
            </w:r>
          </w:p>
        </w:tc>
        <w:tc>
          <w:tcPr>
            <w:tcW w:w="1642" w:type="dxa"/>
            <w:vAlign w:val="center"/>
          </w:tcPr>
          <w:p w14:paraId="0E4319A1" w14:textId="77777777" w:rsidR="00BF4D9C" w:rsidRPr="007263E1" w:rsidRDefault="00BF4D9C" w:rsidP="00821F9B">
            <w:r w:rsidRPr="007263E1">
              <w:t>39</w:t>
            </w:r>
          </w:p>
        </w:tc>
        <w:tc>
          <w:tcPr>
            <w:tcW w:w="810" w:type="dxa"/>
            <w:vAlign w:val="center"/>
          </w:tcPr>
          <w:p w14:paraId="3F3ADBED" w14:textId="77777777" w:rsidR="00BF4D9C" w:rsidRPr="007263E1" w:rsidRDefault="00BF4D9C" w:rsidP="00821F9B">
            <w:r w:rsidRPr="007263E1">
              <w:t>26.9</w:t>
            </w:r>
          </w:p>
        </w:tc>
        <w:tc>
          <w:tcPr>
            <w:tcW w:w="1440" w:type="dxa"/>
            <w:vAlign w:val="center"/>
          </w:tcPr>
          <w:p w14:paraId="5013F3E8" w14:textId="77777777" w:rsidR="00BF4D9C" w:rsidRPr="007263E1" w:rsidRDefault="00BF4D9C" w:rsidP="00821F9B">
            <w:r w:rsidRPr="007263E1">
              <w:t>106</w:t>
            </w:r>
          </w:p>
        </w:tc>
        <w:tc>
          <w:tcPr>
            <w:tcW w:w="810" w:type="dxa"/>
            <w:vAlign w:val="center"/>
          </w:tcPr>
          <w:p w14:paraId="2880D8D5" w14:textId="77777777" w:rsidR="00BF4D9C" w:rsidRPr="007263E1" w:rsidRDefault="00BF4D9C" w:rsidP="00821F9B">
            <w:r w:rsidRPr="007263E1">
              <w:t>73.1</w:t>
            </w:r>
          </w:p>
        </w:tc>
        <w:tc>
          <w:tcPr>
            <w:tcW w:w="990" w:type="dxa"/>
            <w:vAlign w:val="center"/>
          </w:tcPr>
          <w:p w14:paraId="720B3D24" w14:textId="77777777" w:rsidR="00BF4D9C" w:rsidRPr="007263E1" w:rsidRDefault="00BF4D9C" w:rsidP="00821F9B">
            <w:r w:rsidRPr="007263E1">
              <w:t>145</w:t>
            </w:r>
          </w:p>
        </w:tc>
        <w:tc>
          <w:tcPr>
            <w:tcW w:w="810" w:type="dxa"/>
          </w:tcPr>
          <w:p w14:paraId="34357F25" w14:textId="77777777" w:rsidR="00BF4D9C" w:rsidRPr="007263E1" w:rsidRDefault="00BF4D9C" w:rsidP="00821F9B">
            <w:r w:rsidRPr="007263E1">
              <w:t>100</w:t>
            </w:r>
          </w:p>
        </w:tc>
      </w:tr>
      <w:tr w:rsidR="00BF4D9C" w:rsidRPr="007263E1" w14:paraId="20C51B99" w14:textId="77777777" w:rsidTr="00B834F6">
        <w:tc>
          <w:tcPr>
            <w:tcW w:w="1688" w:type="dxa"/>
            <w:gridSpan w:val="2"/>
            <w:vAlign w:val="center"/>
          </w:tcPr>
          <w:p w14:paraId="6A17BD5C" w14:textId="77777777" w:rsidR="00BF4D9C" w:rsidRPr="007263E1" w:rsidRDefault="00BF4D9C" w:rsidP="00821F9B">
            <w:r w:rsidRPr="007263E1">
              <w:t>Total</w:t>
            </w:r>
          </w:p>
        </w:tc>
        <w:tc>
          <w:tcPr>
            <w:tcW w:w="1642" w:type="dxa"/>
            <w:vAlign w:val="center"/>
          </w:tcPr>
          <w:p w14:paraId="2BC863F1" w14:textId="77777777" w:rsidR="00BF4D9C" w:rsidRPr="007263E1" w:rsidRDefault="00BF4D9C" w:rsidP="00821F9B">
            <w:r w:rsidRPr="007263E1">
              <w:t>257</w:t>
            </w:r>
          </w:p>
        </w:tc>
        <w:tc>
          <w:tcPr>
            <w:tcW w:w="810" w:type="dxa"/>
            <w:vAlign w:val="center"/>
          </w:tcPr>
          <w:p w14:paraId="41AECF25" w14:textId="77777777" w:rsidR="00BF4D9C" w:rsidRPr="007263E1" w:rsidRDefault="00BF4D9C" w:rsidP="00821F9B">
            <w:r w:rsidRPr="007263E1">
              <w:t>38.6</w:t>
            </w:r>
          </w:p>
        </w:tc>
        <w:tc>
          <w:tcPr>
            <w:tcW w:w="1440" w:type="dxa"/>
            <w:vAlign w:val="center"/>
          </w:tcPr>
          <w:p w14:paraId="6A4D99ED" w14:textId="77777777" w:rsidR="00BF4D9C" w:rsidRPr="007263E1" w:rsidRDefault="00BF4D9C" w:rsidP="00821F9B">
            <w:r w:rsidRPr="007263E1">
              <w:t>408</w:t>
            </w:r>
          </w:p>
        </w:tc>
        <w:tc>
          <w:tcPr>
            <w:tcW w:w="810" w:type="dxa"/>
            <w:vAlign w:val="center"/>
          </w:tcPr>
          <w:p w14:paraId="3E1710FC" w14:textId="77777777" w:rsidR="00BF4D9C" w:rsidRPr="007263E1" w:rsidRDefault="00BF4D9C" w:rsidP="00821F9B">
            <w:r w:rsidRPr="007263E1">
              <w:t>61.4</w:t>
            </w:r>
          </w:p>
        </w:tc>
        <w:tc>
          <w:tcPr>
            <w:tcW w:w="990" w:type="dxa"/>
            <w:vAlign w:val="center"/>
          </w:tcPr>
          <w:p w14:paraId="15F35F01" w14:textId="77777777" w:rsidR="00BF4D9C" w:rsidRPr="007263E1" w:rsidRDefault="00BF4D9C" w:rsidP="00821F9B">
            <w:r w:rsidRPr="007263E1">
              <w:t>665</w:t>
            </w:r>
          </w:p>
        </w:tc>
        <w:tc>
          <w:tcPr>
            <w:tcW w:w="810" w:type="dxa"/>
          </w:tcPr>
          <w:p w14:paraId="34905978" w14:textId="77777777" w:rsidR="00BF4D9C" w:rsidRPr="007263E1" w:rsidRDefault="00BF4D9C" w:rsidP="00821F9B">
            <w:r w:rsidRPr="007263E1">
              <w:t>100</w:t>
            </w:r>
          </w:p>
        </w:tc>
      </w:tr>
    </w:tbl>
    <w:p w14:paraId="44C08F9A" w14:textId="77777777" w:rsidR="00BF4D9C" w:rsidRPr="007263E1" w:rsidRDefault="00BF4D9C" w:rsidP="00631AE2">
      <w:pPr>
        <w:jc w:val="both"/>
        <w:rPr>
          <w:rFonts w:ascii="Times New Roman" w:hAnsi="Times New Roman" w:cs="Times New Roman"/>
        </w:rPr>
      </w:pPr>
      <w:r w:rsidRPr="007263E1">
        <w:rPr>
          <w:rFonts w:ascii="Times New Roman" w:hAnsi="Times New Roman" w:cs="Times New Roman"/>
        </w:rPr>
        <w:tab/>
      </w:r>
    </w:p>
    <w:p w14:paraId="2A51EAAD" w14:textId="77777777" w:rsidR="00B834F6" w:rsidRPr="007263E1" w:rsidRDefault="00B834F6" w:rsidP="00631AE2">
      <w:pPr>
        <w:jc w:val="both"/>
        <w:rPr>
          <w:rFonts w:ascii="Times New Roman" w:hAnsi="Times New Roman" w:cs="Times New Roman"/>
        </w:rPr>
      </w:pPr>
    </w:p>
    <w:p w14:paraId="23A4BF9F" w14:textId="77777777" w:rsidR="00B834F6" w:rsidRPr="007263E1" w:rsidRDefault="00B834F6" w:rsidP="00B834F6">
      <w:pPr>
        <w:spacing w:line="360" w:lineRule="auto"/>
        <w:jc w:val="both"/>
        <w:rPr>
          <w:rFonts w:ascii="Times New Roman" w:hAnsi="Times New Roman" w:cs="Times New Roman"/>
        </w:rPr>
      </w:pPr>
      <w:r w:rsidRPr="007263E1">
        <w:rPr>
          <w:rFonts w:ascii="Times New Roman" w:hAnsi="Times New Roman" w:cs="Times New Roman"/>
        </w:rPr>
        <w:t xml:space="preserve">Table 2. Sex distribution of burn patients and the years of incidence in Dr. </w:t>
      </w:r>
      <w:proofErr w:type="spellStart"/>
      <w:r w:rsidRPr="007263E1">
        <w:rPr>
          <w:rFonts w:ascii="Times New Roman" w:hAnsi="Times New Roman" w:cs="Times New Roman"/>
        </w:rPr>
        <w:t>Soetomo</w:t>
      </w:r>
      <w:proofErr w:type="spellEnd"/>
    </w:p>
    <w:p w14:paraId="02580943" w14:textId="77777777" w:rsidR="00B834F6" w:rsidRPr="007263E1" w:rsidRDefault="00B834F6" w:rsidP="00963A53">
      <w:pPr>
        <w:ind w:firstLine="720"/>
        <w:jc w:val="both"/>
        <w:rPr>
          <w:rFonts w:ascii="Times New Roman" w:hAnsi="Times New Roman" w:cs="Times New Roman"/>
        </w:rPr>
      </w:pPr>
      <w:r w:rsidRPr="007263E1">
        <w:rPr>
          <w:rFonts w:ascii="Times New Roman" w:hAnsi="Times New Roman" w:cs="Times New Roman"/>
        </w:rPr>
        <w:t xml:space="preserve">  General Hospital</w:t>
      </w:r>
    </w:p>
    <w:p w14:paraId="0668024C" w14:textId="77777777" w:rsidR="00D574C8" w:rsidRPr="007263E1" w:rsidRDefault="00D574C8" w:rsidP="00963A53">
      <w:pPr>
        <w:ind w:firstLine="720"/>
        <w:jc w:val="both"/>
        <w:rPr>
          <w:rFonts w:ascii="Times New Roman" w:hAnsi="Times New Roman" w:cs="Times New Roman"/>
        </w:rPr>
      </w:pPr>
    </w:p>
    <w:tbl>
      <w:tblPr>
        <w:tblStyle w:val="TableGrid"/>
        <w:tblW w:w="8190" w:type="dxa"/>
        <w:tblInd w:w="828" w:type="dxa"/>
        <w:tblLook w:val="04A0" w:firstRow="1" w:lastRow="0" w:firstColumn="1" w:lastColumn="0" w:noHBand="0" w:noVBand="1"/>
      </w:tblPr>
      <w:tblGrid>
        <w:gridCol w:w="862"/>
        <w:gridCol w:w="826"/>
        <w:gridCol w:w="1552"/>
        <w:gridCol w:w="799"/>
        <w:gridCol w:w="1541"/>
        <w:gridCol w:w="810"/>
        <w:gridCol w:w="990"/>
        <w:gridCol w:w="810"/>
      </w:tblGrid>
      <w:tr w:rsidR="00B834F6" w:rsidRPr="007263E1" w14:paraId="28BA74AA" w14:textId="77777777" w:rsidTr="00821F9B">
        <w:tc>
          <w:tcPr>
            <w:tcW w:w="1688" w:type="dxa"/>
            <w:gridSpan w:val="2"/>
            <w:vMerge w:val="restart"/>
            <w:vAlign w:val="center"/>
          </w:tcPr>
          <w:p w14:paraId="5F2CBE81" w14:textId="77777777" w:rsidR="00B834F6" w:rsidRPr="007263E1" w:rsidRDefault="00B834F6" w:rsidP="00821F9B"/>
        </w:tc>
        <w:tc>
          <w:tcPr>
            <w:tcW w:w="4702" w:type="dxa"/>
            <w:gridSpan w:val="4"/>
            <w:vAlign w:val="center"/>
          </w:tcPr>
          <w:p w14:paraId="529541BB" w14:textId="77777777" w:rsidR="00B834F6" w:rsidRPr="007263E1" w:rsidRDefault="00A24525" w:rsidP="00821F9B">
            <w:r w:rsidRPr="007263E1">
              <w:t>SEX</w:t>
            </w:r>
          </w:p>
        </w:tc>
        <w:tc>
          <w:tcPr>
            <w:tcW w:w="990" w:type="dxa"/>
            <w:vMerge w:val="restart"/>
            <w:vAlign w:val="center"/>
          </w:tcPr>
          <w:p w14:paraId="43077C8C" w14:textId="77777777" w:rsidR="00B834F6" w:rsidRPr="007263E1" w:rsidRDefault="00A24525" w:rsidP="00821F9B">
            <w:r w:rsidRPr="007263E1">
              <w:t>Total</w:t>
            </w:r>
          </w:p>
        </w:tc>
        <w:tc>
          <w:tcPr>
            <w:tcW w:w="810" w:type="dxa"/>
            <w:vMerge w:val="restart"/>
            <w:vAlign w:val="center"/>
          </w:tcPr>
          <w:p w14:paraId="1141E9FE" w14:textId="77777777" w:rsidR="00B834F6" w:rsidRPr="007263E1" w:rsidRDefault="00B834F6" w:rsidP="00821F9B">
            <w:r w:rsidRPr="007263E1">
              <w:t>%</w:t>
            </w:r>
          </w:p>
        </w:tc>
      </w:tr>
      <w:tr w:rsidR="00B834F6" w:rsidRPr="007263E1" w14:paraId="0E61C8EC" w14:textId="77777777" w:rsidTr="00821F9B">
        <w:trPr>
          <w:trHeight w:val="269"/>
        </w:trPr>
        <w:tc>
          <w:tcPr>
            <w:tcW w:w="1688" w:type="dxa"/>
            <w:gridSpan w:val="2"/>
            <w:vMerge/>
            <w:vAlign w:val="center"/>
          </w:tcPr>
          <w:p w14:paraId="141A6ADD" w14:textId="77777777" w:rsidR="00B834F6" w:rsidRPr="007263E1" w:rsidRDefault="00B834F6" w:rsidP="00821F9B"/>
        </w:tc>
        <w:tc>
          <w:tcPr>
            <w:tcW w:w="1552" w:type="dxa"/>
            <w:vAlign w:val="center"/>
          </w:tcPr>
          <w:p w14:paraId="5482503D" w14:textId="77777777" w:rsidR="00B834F6" w:rsidRPr="007263E1" w:rsidRDefault="00A24525" w:rsidP="00821F9B">
            <w:r w:rsidRPr="007263E1">
              <w:t>Male</w:t>
            </w:r>
          </w:p>
        </w:tc>
        <w:tc>
          <w:tcPr>
            <w:tcW w:w="799" w:type="dxa"/>
            <w:vAlign w:val="center"/>
          </w:tcPr>
          <w:p w14:paraId="264D1798" w14:textId="77777777" w:rsidR="00B834F6" w:rsidRPr="007263E1" w:rsidRDefault="00B834F6" w:rsidP="00821F9B">
            <w:r w:rsidRPr="007263E1">
              <w:t>%</w:t>
            </w:r>
          </w:p>
        </w:tc>
        <w:tc>
          <w:tcPr>
            <w:tcW w:w="1541" w:type="dxa"/>
            <w:vAlign w:val="center"/>
          </w:tcPr>
          <w:p w14:paraId="768ED71D" w14:textId="77777777" w:rsidR="00B834F6" w:rsidRPr="007263E1" w:rsidRDefault="00B50CA1" w:rsidP="00821F9B">
            <w:r w:rsidRPr="007263E1">
              <w:t>F</w:t>
            </w:r>
            <w:r w:rsidR="00A24525" w:rsidRPr="007263E1">
              <w:t>emale</w:t>
            </w:r>
          </w:p>
        </w:tc>
        <w:tc>
          <w:tcPr>
            <w:tcW w:w="810" w:type="dxa"/>
            <w:vAlign w:val="center"/>
          </w:tcPr>
          <w:p w14:paraId="60DF7CE1" w14:textId="77777777" w:rsidR="00B834F6" w:rsidRPr="007263E1" w:rsidRDefault="00B834F6" w:rsidP="00821F9B">
            <w:r w:rsidRPr="007263E1">
              <w:t>%</w:t>
            </w:r>
          </w:p>
        </w:tc>
        <w:tc>
          <w:tcPr>
            <w:tcW w:w="990" w:type="dxa"/>
            <w:vMerge/>
            <w:vAlign w:val="center"/>
          </w:tcPr>
          <w:p w14:paraId="78C69BA0" w14:textId="77777777" w:rsidR="00B834F6" w:rsidRPr="007263E1" w:rsidRDefault="00B834F6" w:rsidP="00821F9B"/>
        </w:tc>
        <w:tc>
          <w:tcPr>
            <w:tcW w:w="810" w:type="dxa"/>
            <w:vMerge/>
          </w:tcPr>
          <w:p w14:paraId="764D4BCC" w14:textId="77777777" w:rsidR="00B834F6" w:rsidRPr="007263E1" w:rsidRDefault="00B834F6" w:rsidP="00821F9B"/>
        </w:tc>
      </w:tr>
      <w:tr w:rsidR="00B834F6" w:rsidRPr="007263E1" w14:paraId="575C2CF1" w14:textId="77777777" w:rsidTr="00821F9B">
        <w:tc>
          <w:tcPr>
            <w:tcW w:w="862" w:type="dxa"/>
            <w:vMerge w:val="restart"/>
            <w:vAlign w:val="center"/>
          </w:tcPr>
          <w:p w14:paraId="5865CA4B" w14:textId="77777777" w:rsidR="00B834F6" w:rsidRPr="007263E1" w:rsidRDefault="00A24525" w:rsidP="00821F9B">
            <w:r w:rsidRPr="007263E1">
              <w:t>YEAR</w:t>
            </w:r>
          </w:p>
        </w:tc>
        <w:tc>
          <w:tcPr>
            <w:tcW w:w="826" w:type="dxa"/>
            <w:vAlign w:val="center"/>
          </w:tcPr>
          <w:p w14:paraId="540E80CD" w14:textId="77777777" w:rsidR="00B834F6" w:rsidRPr="007263E1" w:rsidRDefault="00B834F6" w:rsidP="00821F9B">
            <w:r w:rsidRPr="007263E1">
              <w:t>2007</w:t>
            </w:r>
          </w:p>
        </w:tc>
        <w:tc>
          <w:tcPr>
            <w:tcW w:w="1552" w:type="dxa"/>
            <w:vAlign w:val="center"/>
          </w:tcPr>
          <w:p w14:paraId="4B702558" w14:textId="77777777" w:rsidR="00B834F6" w:rsidRPr="007263E1" w:rsidRDefault="00B834F6" w:rsidP="00821F9B">
            <w:r w:rsidRPr="007263E1">
              <w:t>93</w:t>
            </w:r>
          </w:p>
        </w:tc>
        <w:tc>
          <w:tcPr>
            <w:tcW w:w="799" w:type="dxa"/>
            <w:vAlign w:val="center"/>
          </w:tcPr>
          <w:p w14:paraId="285577E3" w14:textId="77777777" w:rsidR="00B834F6" w:rsidRPr="007263E1" w:rsidRDefault="00B834F6" w:rsidP="00821F9B">
            <w:r w:rsidRPr="007263E1">
              <w:t>75.6</w:t>
            </w:r>
          </w:p>
        </w:tc>
        <w:tc>
          <w:tcPr>
            <w:tcW w:w="1541" w:type="dxa"/>
            <w:vAlign w:val="center"/>
          </w:tcPr>
          <w:p w14:paraId="71E50DE9" w14:textId="77777777" w:rsidR="00B834F6" w:rsidRPr="007263E1" w:rsidRDefault="00B834F6" w:rsidP="00821F9B">
            <w:r w:rsidRPr="007263E1">
              <w:t>30</w:t>
            </w:r>
          </w:p>
        </w:tc>
        <w:tc>
          <w:tcPr>
            <w:tcW w:w="810" w:type="dxa"/>
            <w:vAlign w:val="center"/>
          </w:tcPr>
          <w:p w14:paraId="7B53AAA9" w14:textId="77777777" w:rsidR="00B834F6" w:rsidRPr="007263E1" w:rsidRDefault="00B834F6" w:rsidP="00821F9B">
            <w:r w:rsidRPr="007263E1">
              <w:t>24.4</w:t>
            </w:r>
          </w:p>
        </w:tc>
        <w:tc>
          <w:tcPr>
            <w:tcW w:w="990" w:type="dxa"/>
            <w:vAlign w:val="center"/>
          </w:tcPr>
          <w:p w14:paraId="53C721E2" w14:textId="77777777" w:rsidR="00B834F6" w:rsidRPr="007263E1" w:rsidRDefault="00B834F6" w:rsidP="00821F9B">
            <w:r w:rsidRPr="007263E1">
              <w:t>123</w:t>
            </w:r>
          </w:p>
        </w:tc>
        <w:tc>
          <w:tcPr>
            <w:tcW w:w="810" w:type="dxa"/>
          </w:tcPr>
          <w:p w14:paraId="196BCB1F" w14:textId="77777777" w:rsidR="00B834F6" w:rsidRPr="007263E1" w:rsidRDefault="00B834F6" w:rsidP="00821F9B">
            <w:r w:rsidRPr="007263E1">
              <w:t>100</w:t>
            </w:r>
          </w:p>
        </w:tc>
      </w:tr>
      <w:tr w:rsidR="00B834F6" w:rsidRPr="007263E1" w14:paraId="10082E81" w14:textId="77777777" w:rsidTr="00821F9B">
        <w:tc>
          <w:tcPr>
            <w:tcW w:w="862" w:type="dxa"/>
            <w:vMerge/>
            <w:vAlign w:val="center"/>
          </w:tcPr>
          <w:p w14:paraId="0634FABD" w14:textId="77777777" w:rsidR="00B834F6" w:rsidRPr="007263E1" w:rsidRDefault="00B834F6" w:rsidP="00821F9B"/>
        </w:tc>
        <w:tc>
          <w:tcPr>
            <w:tcW w:w="826" w:type="dxa"/>
            <w:vAlign w:val="center"/>
          </w:tcPr>
          <w:p w14:paraId="3983C854" w14:textId="77777777" w:rsidR="00B834F6" w:rsidRPr="007263E1" w:rsidRDefault="00B834F6" w:rsidP="00821F9B">
            <w:r w:rsidRPr="007263E1">
              <w:t>2008</w:t>
            </w:r>
          </w:p>
        </w:tc>
        <w:tc>
          <w:tcPr>
            <w:tcW w:w="1552" w:type="dxa"/>
            <w:vAlign w:val="center"/>
          </w:tcPr>
          <w:p w14:paraId="0FA903AD" w14:textId="77777777" w:rsidR="00B834F6" w:rsidRPr="007263E1" w:rsidRDefault="00B834F6" w:rsidP="00821F9B">
            <w:r w:rsidRPr="007263E1">
              <w:t>83</w:t>
            </w:r>
          </w:p>
        </w:tc>
        <w:tc>
          <w:tcPr>
            <w:tcW w:w="799" w:type="dxa"/>
            <w:vAlign w:val="center"/>
          </w:tcPr>
          <w:p w14:paraId="61FED06C" w14:textId="77777777" w:rsidR="00B834F6" w:rsidRPr="007263E1" w:rsidRDefault="00B834F6" w:rsidP="00821F9B">
            <w:r w:rsidRPr="007263E1">
              <w:t>59.7</w:t>
            </w:r>
          </w:p>
        </w:tc>
        <w:tc>
          <w:tcPr>
            <w:tcW w:w="1541" w:type="dxa"/>
            <w:vAlign w:val="center"/>
          </w:tcPr>
          <w:p w14:paraId="078EB181" w14:textId="77777777" w:rsidR="00B834F6" w:rsidRPr="007263E1" w:rsidRDefault="00B834F6" w:rsidP="00821F9B">
            <w:r w:rsidRPr="007263E1">
              <w:t>56</w:t>
            </w:r>
          </w:p>
        </w:tc>
        <w:tc>
          <w:tcPr>
            <w:tcW w:w="810" w:type="dxa"/>
            <w:vAlign w:val="center"/>
          </w:tcPr>
          <w:p w14:paraId="083C556B" w14:textId="77777777" w:rsidR="00B834F6" w:rsidRPr="007263E1" w:rsidRDefault="00B834F6" w:rsidP="00821F9B">
            <w:r w:rsidRPr="007263E1">
              <w:t>40.3</w:t>
            </w:r>
          </w:p>
        </w:tc>
        <w:tc>
          <w:tcPr>
            <w:tcW w:w="990" w:type="dxa"/>
            <w:vAlign w:val="center"/>
          </w:tcPr>
          <w:p w14:paraId="0DA59C27" w14:textId="77777777" w:rsidR="00B834F6" w:rsidRPr="007263E1" w:rsidRDefault="00B834F6" w:rsidP="00821F9B">
            <w:r w:rsidRPr="007263E1">
              <w:t>139</w:t>
            </w:r>
          </w:p>
        </w:tc>
        <w:tc>
          <w:tcPr>
            <w:tcW w:w="810" w:type="dxa"/>
          </w:tcPr>
          <w:p w14:paraId="25643313" w14:textId="77777777" w:rsidR="00B834F6" w:rsidRPr="007263E1" w:rsidRDefault="00B834F6" w:rsidP="00821F9B">
            <w:r w:rsidRPr="007263E1">
              <w:t>100</w:t>
            </w:r>
          </w:p>
        </w:tc>
      </w:tr>
      <w:tr w:rsidR="00B834F6" w:rsidRPr="007263E1" w14:paraId="794B8722" w14:textId="77777777" w:rsidTr="00821F9B">
        <w:tc>
          <w:tcPr>
            <w:tcW w:w="862" w:type="dxa"/>
            <w:vMerge/>
            <w:vAlign w:val="center"/>
          </w:tcPr>
          <w:p w14:paraId="24ECD319" w14:textId="77777777" w:rsidR="00B834F6" w:rsidRPr="007263E1" w:rsidRDefault="00B834F6" w:rsidP="00821F9B"/>
        </w:tc>
        <w:tc>
          <w:tcPr>
            <w:tcW w:w="826" w:type="dxa"/>
            <w:vAlign w:val="center"/>
          </w:tcPr>
          <w:p w14:paraId="2C6B1D75" w14:textId="77777777" w:rsidR="00B834F6" w:rsidRPr="007263E1" w:rsidRDefault="00B834F6" w:rsidP="00821F9B">
            <w:r w:rsidRPr="007263E1">
              <w:t>2009</w:t>
            </w:r>
          </w:p>
        </w:tc>
        <w:tc>
          <w:tcPr>
            <w:tcW w:w="1552" w:type="dxa"/>
            <w:vAlign w:val="center"/>
          </w:tcPr>
          <w:p w14:paraId="2455CDE6" w14:textId="77777777" w:rsidR="00B834F6" w:rsidRPr="007263E1" w:rsidRDefault="00B834F6" w:rsidP="00821F9B">
            <w:r w:rsidRPr="007263E1">
              <w:t>81</w:t>
            </w:r>
          </w:p>
        </w:tc>
        <w:tc>
          <w:tcPr>
            <w:tcW w:w="799" w:type="dxa"/>
            <w:vAlign w:val="center"/>
          </w:tcPr>
          <w:p w14:paraId="0AC8B378" w14:textId="77777777" w:rsidR="00B834F6" w:rsidRPr="007263E1" w:rsidRDefault="00B834F6" w:rsidP="00821F9B">
            <w:r w:rsidRPr="007263E1">
              <w:t>65.3</w:t>
            </w:r>
          </w:p>
        </w:tc>
        <w:tc>
          <w:tcPr>
            <w:tcW w:w="1541" w:type="dxa"/>
            <w:vAlign w:val="center"/>
          </w:tcPr>
          <w:p w14:paraId="5099BDF0" w14:textId="77777777" w:rsidR="00B834F6" w:rsidRPr="007263E1" w:rsidRDefault="00B834F6" w:rsidP="00821F9B">
            <w:r w:rsidRPr="007263E1">
              <w:t>43</w:t>
            </w:r>
          </w:p>
        </w:tc>
        <w:tc>
          <w:tcPr>
            <w:tcW w:w="810" w:type="dxa"/>
            <w:vAlign w:val="center"/>
          </w:tcPr>
          <w:p w14:paraId="351874A2" w14:textId="77777777" w:rsidR="00B834F6" w:rsidRPr="007263E1" w:rsidRDefault="00B834F6" w:rsidP="00821F9B">
            <w:r w:rsidRPr="007263E1">
              <w:t>34.7</w:t>
            </w:r>
          </w:p>
        </w:tc>
        <w:tc>
          <w:tcPr>
            <w:tcW w:w="990" w:type="dxa"/>
            <w:vAlign w:val="center"/>
          </w:tcPr>
          <w:p w14:paraId="063F3988" w14:textId="77777777" w:rsidR="00B834F6" w:rsidRPr="007263E1" w:rsidRDefault="00B834F6" w:rsidP="00821F9B">
            <w:r w:rsidRPr="007263E1">
              <w:t>124</w:t>
            </w:r>
          </w:p>
        </w:tc>
        <w:tc>
          <w:tcPr>
            <w:tcW w:w="810" w:type="dxa"/>
          </w:tcPr>
          <w:p w14:paraId="428EBF3E" w14:textId="77777777" w:rsidR="00B834F6" w:rsidRPr="007263E1" w:rsidRDefault="00B834F6" w:rsidP="00821F9B">
            <w:r w:rsidRPr="007263E1">
              <w:t>100</w:t>
            </w:r>
          </w:p>
        </w:tc>
      </w:tr>
      <w:tr w:rsidR="00B834F6" w:rsidRPr="007263E1" w14:paraId="2B99EC96" w14:textId="77777777" w:rsidTr="00821F9B">
        <w:tc>
          <w:tcPr>
            <w:tcW w:w="862" w:type="dxa"/>
            <w:vMerge/>
            <w:vAlign w:val="center"/>
          </w:tcPr>
          <w:p w14:paraId="618C2CD8" w14:textId="77777777" w:rsidR="00B834F6" w:rsidRPr="007263E1" w:rsidRDefault="00B834F6" w:rsidP="00821F9B"/>
        </w:tc>
        <w:tc>
          <w:tcPr>
            <w:tcW w:w="826" w:type="dxa"/>
            <w:vAlign w:val="center"/>
          </w:tcPr>
          <w:p w14:paraId="59A1404C" w14:textId="77777777" w:rsidR="00B834F6" w:rsidRPr="007263E1" w:rsidRDefault="00B834F6" w:rsidP="00821F9B">
            <w:r w:rsidRPr="007263E1">
              <w:t>2010</w:t>
            </w:r>
          </w:p>
        </w:tc>
        <w:tc>
          <w:tcPr>
            <w:tcW w:w="1552" w:type="dxa"/>
            <w:vAlign w:val="center"/>
          </w:tcPr>
          <w:p w14:paraId="1A2C77AE" w14:textId="77777777" w:rsidR="00B834F6" w:rsidRPr="007263E1" w:rsidRDefault="00B834F6" w:rsidP="00821F9B">
            <w:r w:rsidRPr="007263E1">
              <w:t>93</w:t>
            </w:r>
          </w:p>
        </w:tc>
        <w:tc>
          <w:tcPr>
            <w:tcW w:w="799" w:type="dxa"/>
            <w:vAlign w:val="center"/>
          </w:tcPr>
          <w:p w14:paraId="36F82068" w14:textId="77777777" w:rsidR="00B834F6" w:rsidRPr="007263E1" w:rsidRDefault="00B834F6" w:rsidP="00821F9B">
            <w:r w:rsidRPr="007263E1">
              <w:t>69.4</w:t>
            </w:r>
          </w:p>
        </w:tc>
        <w:tc>
          <w:tcPr>
            <w:tcW w:w="1541" w:type="dxa"/>
            <w:vAlign w:val="center"/>
          </w:tcPr>
          <w:p w14:paraId="68001995" w14:textId="77777777" w:rsidR="00B834F6" w:rsidRPr="007263E1" w:rsidRDefault="00B834F6" w:rsidP="00821F9B">
            <w:r w:rsidRPr="007263E1">
              <w:t>41</w:t>
            </w:r>
          </w:p>
        </w:tc>
        <w:tc>
          <w:tcPr>
            <w:tcW w:w="810" w:type="dxa"/>
            <w:vAlign w:val="center"/>
          </w:tcPr>
          <w:p w14:paraId="66E2673B" w14:textId="77777777" w:rsidR="00B834F6" w:rsidRPr="007263E1" w:rsidRDefault="00B834F6" w:rsidP="00821F9B">
            <w:r w:rsidRPr="007263E1">
              <w:t>30.6</w:t>
            </w:r>
          </w:p>
        </w:tc>
        <w:tc>
          <w:tcPr>
            <w:tcW w:w="990" w:type="dxa"/>
            <w:vAlign w:val="center"/>
          </w:tcPr>
          <w:p w14:paraId="169F372D" w14:textId="77777777" w:rsidR="00B834F6" w:rsidRPr="007263E1" w:rsidRDefault="00B834F6" w:rsidP="00821F9B">
            <w:r w:rsidRPr="007263E1">
              <w:t>134</w:t>
            </w:r>
          </w:p>
        </w:tc>
        <w:tc>
          <w:tcPr>
            <w:tcW w:w="810" w:type="dxa"/>
          </w:tcPr>
          <w:p w14:paraId="75146CAC" w14:textId="77777777" w:rsidR="00B834F6" w:rsidRPr="007263E1" w:rsidRDefault="00B834F6" w:rsidP="00821F9B">
            <w:r w:rsidRPr="007263E1">
              <w:t>100</w:t>
            </w:r>
          </w:p>
        </w:tc>
      </w:tr>
      <w:tr w:rsidR="00B834F6" w:rsidRPr="007263E1" w14:paraId="6931845D" w14:textId="77777777" w:rsidTr="00821F9B">
        <w:tc>
          <w:tcPr>
            <w:tcW w:w="862" w:type="dxa"/>
            <w:vMerge/>
            <w:vAlign w:val="center"/>
          </w:tcPr>
          <w:p w14:paraId="4B15F1C3" w14:textId="77777777" w:rsidR="00B834F6" w:rsidRPr="007263E1" w:rsidRDefault="00B834F6" w:rsidP="00821F9B"/>
        </w:tc>
        <w:tc>
          <w:tcPr>
            <w:tcW w:w="826" w:type="dxa"/>
            <w:vAlign w:val="center"/>
          </w:tcPr>
          <w:p w14:paraId="23E89351" w14:textId="77777777" w:rsidR="00B834F6" w:rsidRPr="007263E1" w:rsidRDefault="00B834F6" w:rsidP="00821F9B">
            <w:r w:rsidRPr="007263E1">
              <w:t>2011</w:t>
            </w:r>
          </w:p>
        </w:tc>
        <w:tc>
          <w:tcPr>
            <w:tcW w:w="1552" w:type="dxa"/>
            <w:vAlign w:val="center"/>
          </w:tcPr>
          <w:p w14:paraId="2C685D39" w14:textId="77777777" w:rsidR="00B834F6" w:rsidRPr="007263E1" w:rsidRDefault="00B834F6" w:rsidP="00821F9B">
            <w:r w:rsidRPr="007263E1">
              <w:t>81</w:t>
            </w:r>
          </w:p>
        </w:tc>
        <w:tc>
          <w:tcPr>
            <w:tcW w:w="799" w:type="dxa"/>
            <w:vAlign w:val="center"/>
          </w:tcPr>
          <w:p w14:paraId="3ACD2288" w14:textId="77777777" w:rsidR="00B834F6" w:rsidRPr="007263E1" w:rsidRDefault="00B834F6" w:rsidP="00821F9B">
            <w:r w:rsidRPr="007263E1">
              <w:t>55.9</w:t>
            </w:r>
          </w:p>
        </w:tc>
        <w:tc>
          <w:tcPr>
            <w:tcW w:w="1541" w:type="dxa"/>
            <w:vAlign w:val="center"/>
          </w:tcPr>
          <w:p w14:paraId="6AB2988A" w14:textId="77777777" w:rsidR="00B834F6" w:rsidRPr="007263E1" w:rsidRDefault="00B834F6" w:rsidP="00821F9B">
            <w:r w:rsidRPr="007263E1">
              <w:t>64</w:t>
            </w:r>
          </w:p>
        </w:tc>
        <w:tc>
          <w:tcPr>
            <w:tcW w:w="810" w:type="dxa"/>
            <w:vAlign w:val="center"/>
          </w:tcPr>
          <w:p w14:paraId="6092DDDE" w14:textId="77777777" w:rsidR="00B834F6" w:rsidRPr="007263E1" w:rsidRDefault="00B834F6" w:rsidP="00821F9B">
            <w:r w:rsidRPr="007263E1">
              <w:t>44.1</w:t>
            </w:r>
          </w:p>
        </w:tc>
        <w:tc>
          <w:tcPr>
            <w:tcW w:w="990" w:type="dxa"/>
            <w:vAlign w:val="center"/>
          </w:tcPr>
          <w:p w14:paraId="7D567186" w14:textId="77777777" w:rsidR="00B834F6" w:rsidRPr="007263E1" w:rsidRDefault="00B834F6" w:rsidP="00821F9B">
            <w:r w:rsidRPr="007263E1">
              <w:t>145</w:t>
            </w:r>
          </w:p>
        </w:tc>
        <w:tc>
          <w:tcPr>
            <w:tcW w:w="810" w:type="dxa"/>
          </w:tcPr>
          <w:p w14:paraId="784E26C0" w14:textId="77777777" w:rsidR="00B834F6" w:rsidRPr="007263E1" w:rsidRDefault="00B834F6" w:rsidP="00821F9B">
            <w:r w:rsidRPr="007263E1">
              <w:t>100</w:t>
            </w:r>
          </w:p>
        </w:tc>
      </w:tr>
      <w:tr w:rsidR="00B834F6" w:rsidRPr="007263E1" w14:paraId="54BE11BE" w14:textId="77777777" w:rsidTr="00821F9B">
        <w:tc>
          <w:tcPr>
            <w:tcW w:w="1688" w:type="dxa"/>
            <w:gridSpan w:val="2"/>
            <w:vAlign w:val="center"/>
          </w:tcPr>
          <w:p w14:paraId="2BAFE44A" w14:textId="77777777" w:rsidR="00B834F6" w:rsidRPr="007263E1" w:rsidRDefault="00A24525" w:rsidP="00821F9B">
            <w:r w:rsidRPr="007263E1">
              <w:t>Total</w:t>
            </w:r>
          </w:p>
        </w:tc>
        <w:tc>
          <w:tcPr>
            <w:tcW w:w="1552" w:type="dxa"/>
            <w:vAlign w:val="center"/>
          </w:tcPr>
          <w:p w14:paraId="15D5B211" w14:textId="77777777" w:rsidR="00B834F6" w:rsidRPr="007263E1" w:rsidRDefault="00B834F6" w:rsidP="00821F9B">
            <w:r w:rsidRPr="007263E1">
              <w:t>431</w:t>
            </w:r>
          </w:p>
        </w:tc>
        <w:tc>
          <w:tcPr>
            <w:tcW w:w="799" w:type="dxa"/>
            <w:vAlign w:val="center"/>
          </w:tcPr>
          <w:p w14:paraId="421CFF15" w14:textId="77777777" w:rsidR="00B834F6" w:rsidRPr="007263E1" w:rsidRDefault="00B834F6" w:rsidP="00821F9B">
            <w:r w:rsidRPr="007263E1">
              <w:t>64.8</w:t>
            </w:r>
          </w:p>
        </w:tc>
        <w:tc>
          <w:tcPr>
            <w:tcW w:w="1541" w:type="dxa"/>
            <w:vAlign w:val="center"/>
          </w:tcPr>
          <w:p w14:paraId="6D72985A" w14:textId="77777777" w:rsidR="00B834F6" w:rsidRPr="007263E1" w:rsidRDefault="00B834F6" w:rsidP="00821F9B">
            <w:r w:rsidRPr="007263E1">
              <w:t>234</w:t>
            </w:r>
          </w:p>
        </w:tc>
        <w:tc>
          <w:tcPr>
            <w:tcW w:w="810" w:type="dxa"/>
            <w:vAlign w:val="center"/>
          </w:tcPr>
          <w:p w14:paraId="604B98B9" w14:textId="77777777" w:rsidR="00B834F6" w:rsidRPr="007263E1" w:rsidRDefault="00B834F6" w:rsidP="00821F9B">
            <w:r w:rsidRPr="007263E1">
              <w:t>35.2</w:t>
            </w:r>
          </w:p>
        </w:tc>
        <w:tc>
          <w:tcPr>
            <w:tcW w:w="990" w:type="dxa"/>
            <w:vAlign w:val="center"/>
          </w:tcPr>
          <w:p w14:paraId="4F2EDDED" w14:textId="77777777" w:rsidR="00B834F6" w:rsidRPr="007263E1" w:rsidRDefault="00B834F6" w:rsidP="00821F9B">
            <w:r w:rsidRPr="007263E1">
              <w:t>665</w:t>
            </w:r>
          </w:p>
        </w:tc>
        <w:tc>
          <w:tcPr>
            <w:tcW w:w="810" w:type="dxa"/>
          </w:tcPr>
          <w:p w14:paraId="5404BC71" w14:textId="77777777" w:rsidR="00B834F6" w:rsidRPr="007263E1" w:rsidRDefault="00B834F6" w:rsidP="00821F9B">
            <w:r w:rsidRPr="007263E1">
              <w:t>100</w:t>
            </w:r>
          </w:p>
        </w:tc>
      </w:tr>
    </w:tbl>
    <w:p w14:paraId="1ABB85EF" w14:textId="77777777" w:rsidR="00B834F6" w:rsidRPr="007263E1" w:rsidRDefault="00B834F6" w:rsidP="00B834F6">
      <w:pPr>
        <w:pStyle w:val="ListParagraph"/>
        <w:jc w:val="left"/>
        <w:rPr>
          <w:rFonts w:ascii="Times New Roman" w:hAnsi="Times New Roman" w:cs="Times New Roman"/>
        </w:rPr>
      </w:pPr>
    </w:p>
    <w:p w14:paraId="270DE87C" w14:textId="77777777" w:rsidR="00B834F6" w:rsidRPr="007263E1" w:rsidRDefault="00B834F6" w:rsidP="00631AE2">
      <w:pPr>
        <w:jc w:val="both"/>
        <w:rPr>
          <w:rFonts w:ascii="Times New Roman" w:hAnsi="Times New Roman" w:cs="Times New Roman"/>
        </w:rPr>
      </w:pPr>
    </w:p>
    <w:p w14:paraId="5B9C9B89" w14:textId="77777777" w:rsidR="00802B8D" w:rsidRPr="007263E1" w:rsidRDefault="00802B8D" w:rsidP="00631AE2">
      <w:pPr>
        <w:jc w:val="both"/>
        <w:rPr>
          <w:rFonts w:ascii="Times New Roman" w:hAnsi="Times New Roman" w:cs="Times New Roman"/>
        </w:rPr>
      </w:pPr>
    </w:p>
    <w:p w14:paraId="2207C358" w14:textId="77777777" w:rsidR="00A24525" w:rsidRPr="007263E1" w:rsidRDefault="00A24525" w:rsidP="00A24525">
      <w:pPr>
        <w:spacing w:line="360" w:lineRule="auto"/>
        <w:jc w:val="both"/>
        <w:rPr>
          <w:rFonts w:ascii="Times New Roman" w:hAnsi="Times New Roman" w:cs="Times New Roman"/>
        </w:rPr>
      </w:pPr>
      <w:r w:rsidRPr="007263E1">
        <w:rPr>
          <w:rFonts w:ascii="Times New Roman" w:hAnsi="Times New Roman" w:cs="Times New Roman"/>
        </w:rPr>
        <w:t xml:space="preserve">Table 3. Burn wound etiology distribution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w:t>
      </w:r>
    </w:p>
    <w:tbl>
      <w:tblPr>
        <w:tblStyle w:val="TableGrid"/>
        <w:tblW w:w="9000" w:type="dxa"/>
        <w:tblInd w:w="288" w:type="dxa"/>
        <w:tblLayout w:type="fixed"/>
        <w:tblLook w:val="04A0" w:firstRow="1" w:lastRow="0" w:firstColumn="1" w:lastColumn="0" w:noHBand="0" w:noVBand="1"/>
      </w:tblPr>
      <w:tblGrid>
        <w:gridCol w:w="900"/>
        <w:gridCol w:w="810"/>
        <w:gridCol w:w="630"/>
        <w:gridCol w:w="900"/>
        <w:gridCol w:w="630"/>
        <w:gridCol w:w="990"/>
        <w:gridCol w:w="630"/>
        <w:gridCol w:w="1260"/>
        <w:gridCol w:w="630"/>
        <w:gridCol w:w="900"/>
        <w:gridCol w:w="720"/>
      </w:tblGrid>
      <w:tr w:rsidR="00A24525" w:rsidRPr="007263E1" w14:paraId="5E125C09" w14:textId="77777777" w:rsidTr="00A24525">
        <w:tc>
          <w:tcPr>
            <w:tcW w:w="900" w:type="dxa"/>
            <w:vMerge w:val="restart"/>
            <w:vAlign w:val="center"/>
          </w:tcPr>
          <w:p w14:paraId="1EDDC204" w14:textId="77777777" w:rsidR="00A24525" w:rsidRPr="007263E1" w:rsidRDefault="00D574C8" w:rsidP="00821F9B">
            <w:r w:rsidRPr="007263E1">
              <w:t>YEAR</w:t>
            </w:r>
          </w:p>
        </w:tc>
        <w:tc>
          <w:tcPr>
            <w:tcW w:w="6480" w:type="dxa"/>
            <w:gridSpan w:val="8"/>
            <w:vAlign w:val="center"/>
          </w:tcPr>
          <w:p w14:paraId="3C68CC06" w14:textId="77777777" w:rsidR="00A24525" w:rsidRPr="007263E1" w:rsidRDefault="00A24525" w:rsidP="00821F9B">
            <w:r w:rsidRPr="007263E1">
              <w:t>CAUSES</w:t>
            </w:r>
          </w:p>
        </w:tc>
        <w:tc>
          <w:tcPr>
            <w:tcW w:w="900" w:type="dxa"/>
            <w:vMerge w:val="restart"/>
            <w:vAlign w:val="center"/>
          </w:tcPr>
          <w:p w14:paraId="1B67E157" w14:textId="77777777" w:rsidR="00A24525" w:rsidRPr="007263E1" w:rsidRDefault="00A24525" w:rsidP="00821F9B">
            <w:r w:rsidRPr="007263E1">
              <w:t>Total</w:t>
            </w:r>
          </w:p>
        </w:tc>
        <w:tc>
          <w:tcPr>
            <w:tcW w:w="720" w:type="dxa"/>
            <w:vMerge w:val="restart"/>
            <w:vAlign w:val="center"/>
          </w:tcPr>
          <w:p w14:paraId="7B3C944E" w14:textId="77777777" w:rsidR="00A24525" w:rsidRPr="007263E1" w:rsidRDefault="00A24525" w:rsidP="00821F9B">
            <w:r w:rsidRPr="007263E1">
              <w:t>%</w:t>
            </w:r>
          </w:p>
        </w:tc>
      </w:tr>
      <w:tr w:rsidR="00A24525" w:rsidRPr="007263E1" w14:paraId="40BE7523" w14:textId="77777777" w:rsidTr="00A24525">
        <w:trPr>
          <w:trHeight w:val="242"/>
        </w:trPr>
        <w:tc>
          <w:tcPr>
            <w:tcW w:w="900" w:type="dxa"/>
            <w:vMerge/>
            <w:vAlign w:val="center"/>
          </w:tcPr>
          <w:p w14:paraId="0161AE19" w14:textId="77777777" w:rsidR="00A24525" w:rsidRPr="007263E1" w:rsidRDefault="00A24525" w:rsidP="00821F9B"/>
        </w:tc>
        <w:tc>
          <w:tcPr>
            <w:tcW w:w="810" w:type="dxa"/>
            <w:vAlign w:val="center"/>
          </w:tcPr>
          <w:p w14:paraId="1B60ACFB" w14:textId="77777777" w:rsidR="00A24525" w:rsidRPr="007263E1" w:rsidRDefault="00DA0D07" w:rsidP="00821F9B">
            <w:r w:rsidRPr="007263E1">
              <w:t>F</w:t>
            </w:r>
            <w:r w:rsidR="00A24525" w:rsidRPr="007263E1">
              <w:t>lame</w:t>
            </w:r>
          </w:p>
        </w:tc>
        <w:tc>
          <w:tcPr>
            <w:tcW w:w="630" w:type="dxa"/>
            <w:vAlign w:val="center"/>
          </w:tcPr>
          <w:p w14:paraId="66D8DFFD" w14:textId="77777777" w:rsidR="00A24525" w:rsidRPr="007263E1" w:rsidRDefault="00A24525" w:rsidP="00821F9B">
            <w:r w:rsidRPr="007263E1">
              <w:t>%</w:t>
            </w:r>
          </w:p>
        </w:tc>
        <w:tc>
          <w:tcPr>
            <w:tcW w:w="900" w:type="dxa"/>
            <w:vAlign w:val="center"/>
          </w:tcPr>
          <w:p w14:paraId="2915EB34" w14:textId="77777777" w:rsidR="00A24525" w:rsidRPr="007263E1" w:rsidRDefault="00A24525" w:rsidP="00821F9B">
            <w:r w:rsidRPr="007263E1">
              <w:t>electric</w:t>
            </w:r>
          </w:p>
        </w:tc>
        <w:tc>
          <w:tcPr>
            <w:tcW w:w="630" w:type="dxa"/>
            <w:vAlign w:val="center"/>
          </w:tcPr>
          <w:p w14:paraId="48ECF678" w14:textId="77777777" w:rsidR="00A24525" w:rsidRPr="007263E1" w:rsidRDefault="00A24525" w:rsidP="00821F9B">
            <w:r w:rsidRPr="007263E1">
              <w:t>%</w:t>
            </w:r>
          </w:p>
        </w:tc>
        <w:tc>
          <w:tcPr>
            <w:tcW w:w="990" w:type="dxa"/>
            <w:vAlign w:val="center"/>
          </w:tcPr>
          <w:p w14:paraId="45B8257F" w14:textId="77777777" w:rsidR="00A24525" w:rsidRPr="007263E1" w:rsidRDefault="00A24525" w:rsidP="00821F9B">
            <w:r w:rsidRPr="007263E1">
              <w:t>scald</w:t>
            </w:r>
          </w:p>
        </w:tc>
        <w:tc>
          <w:tcPr>
            <w:tcW w:w="630" w:type="dxa"/>
            <w:vAlign w:val="center"/>
          </w:tcPr>
          <w:p w14:paraId="4483530D" w14:textId="77777777" w:rsidR="00A24525" w:rsidRPr="007263E1" w:rsidRDefault="00A24525" w:rsidP="00821F9B">
            <w:r w:rsidRPr="007263E1">
              <w:t>%</w:t>
            </w:r>
          </w:p>
        </w:tc>
        <w:tc>
          <w:tcPr>
            <w:tcW w:w="1260" w:type="dxa"/>
            <w:vAlign w:val="center"/>
          </w:tcPr>
          <w:p w14:paraId="7D15F25C" w14:textId="77777777" w:rsidR="00A24525" w:rsidRPr="007263E1" w:rsidRDefault="00A24525" w:rsidP="00821F9B">
            <w:r w:rsidRPr="007263E1">
              <w:t>chemical</w:t>
            </w:r>
          </w:p>
        </w:tc>
        <w:tc>
          <w:tcPr>
            <w:tcW w:w="630" w:type="dxa"/>
            <w:vAlign w:val="center"/>
          </w:tcPr>
          <w:p w14:paraId="4DFFAF0E" w14:textId="77777777" w:rsidR="00A24525" w:rsidRPr="007263E1" w:rsidRDefault="00A24525" w:rsidP="00821F9B">
            <w:r w:rsidRPr="007263E1">
              <w:t>%</w:t>
            </w:r>
          </w:p>
        </w:tc>
        <w:tc>
          <w:tcPr>
            <w:tcW w:w="900" w:type="dxa"/>
            <w:vMerge/>
            <w:vAlign w:val="center"/>
          </w:tcPr>
          <w:p w14:paraId="64EB7AD5" w14:textId="77777777" w:rsidR="00A24525" w:rsidRPr="007263E1" w:rsidRDefault="00A24525" w:rsidP="00821F9B"/>
        </w:tc>
        <w:tc>
          <w:tcPr>
            <w:tcW w:w="720" w:type="dxa"/>
            <w:vMerge/>
          </w:tcPr>
          <w:p w14:paraId="38D439E9" w14:textId="77777777" w:rsidR="00A24525" w:rsidRPr="007263E1" w:rsidRDefault="00A24525" w:rsidP="00821F9B"/>
        </w:tc>
      </w:tr>
      <w:tr w:rsidR="00A24525" w:rsidRPr="007263E1" w14:paraId="35DFE8CD" w14:textId="77777777" w:rsidTr="00A24525">
        <w:tc>
          <w:tcPr>
            <w:tcW w:w="900" w:type="dxa"/>
            <w:vAlign w:val="center"/>
          </w:tcPr>
          <w:p w14:paraId="65A0A338" w14:textId="77777777" w:rsidR="00A24525" w:rsidRPr="007263E1" w:rsidRDefault="00A24525" w:rsidP="00821F9B">
            <w:r w:rsidRPr="007263E1">
              <w:t>2007</w:t>
            </w:r>
          </w:p>
        </w:tc>
        <w:tc>
          <w:tcPr>
            <w:tcW w:w="810" w:type="dxa"/>
            <w:vAlign w:val="center"/>
          </w:tcPr>
          <w:p w14:paraId="5EA27D93" w14:textId="77777777" w:rsidR="00A24525" w:rsidRPr="007263E1" w:rsidRDefault="00A24525" w:rsidP="00821F9B">
            <w:r w:rsidRPr="007263E1">
              <w:t>50</w:t>
            </w:r>
          </w:p>
        </w:tc>
        <w:tc>
          <w:tcPr>
            <w:tcW w:w="630" w:type="dxa"/>
            <w:vAlign w:val="center"/>
          </w:tcPr>
          <w:p w14:paraId="1AB84F44" w14:textId="77777777" w:rsidR="00A24525" w:rsidRPr="007263E1" w:rsidRDefault="00A24525" w:rsidP="00821F9B">
            <w:r w:rsidRPr="007263E1">
              <w:t>40.6</w:t>
            </w:r>
          </w:p>
        </w:tc>
        <w:tc>
          <w:tcPr>
            <w:tcW w:w="900" w:type="dxa"/>
            <w:vAlign w:val="center"/>
          </w:tcPr>
          <w:p w14:paraId="2BC59588" w14:textId="77777777" w:rsidR="00A24525" w:rsidRPr="007263E1" w:rsidRDefault="00A24525" w:rsidP="00821F9B">
            <w:r w:rsidRPr="007263E1">
              <w:t>32</w:t>
            </w:r>
          </w:p>
        </w:tc>
        <w:tc>
          <w:tcPr>
            <w:tcW w:w="630" w:type="dxa"/>
            <w:vAlign w:val="center"/>
          </w:tcPr>
          <w:p w14:paraId="5606543A" w14:textId="77777777" w:rsidR="00A24525" w:rsidRPr="007263E1" w:rsidRDefault="00A24525" w:rsidP="00821F9B">
            <w:r w:rsidRPr="007263E1">
              <w:t>26</w:t>
            </w:r>
          </w:p>
        </w:tc>
        <w:tc>
          <w:tcPr>
            <w:tcW w:w="990" w:type="dxa"/>
            <w:vAlign w:val="center"/>
          </w:tcPr>
          <w:p w14:paraId="4BDA1C65" w14:textId="77777777" w:rsidR="00A24525" w:rsidRPr="007263E1" w:rsidRDefault="00A24525" w:rsidP="00821F9B">
            <w:r w:rsidRPr="007263E1">
              <w:t>38</w:t>
            </w:r>
          </w:p>
        </w:tc>
        <w:tc>
          <w:tcPr>
            <w:tcW w:w="630" w:type="dxa"/>
            <w:vAlign w:val="center"/>
          </w:tcPr>
          <w:p w14:paraId="09803B0B" w14:textId="77777777" w:rsidR="00A24525" w:rsidRPr="007263E1" w:rsidRDefault="00A24525" w:rsidP="00821F9B">
            <w:r w:rsidRPr="007263E1">
              <w:t>30.9</w:t>
            </w:r>
          </w:p>
        </w:tc>
        <w:tc>
          <w:tcPr>
            <w:tcW w:w="1260" w:type="dxa"/>
            <w:vAlign w:val="center"/>
          </w:tcPr>
          <w:p w14:paraId="1765BB23" w14:textId="77777777" w:rsidR="00A24525" w:rsidRPr="007263E1" w:rsidRDefault="00A24525" w:rsidP="00821F9B">
            <w:r w:rsidRPr="007263E1">
              <w:t>3</w:t>
            </w:r>
          </w:p>
        </w:tc>
        <w:tc>
          <w:tcPr>
            <w:tcW w:w="630" w:type="dxa"/>
            <w:vAlign w:val="center"/>
          </w:tcPr>
          <w:p w14:paraId="34C8F2A6" w14:textId="77777777" w:rsidR="00A24525" w:rsidRPr="007263E1" w:rsidRDefault="00A24525" w:rsidP="00821F9B">
            <w:r w:rsidRPr="007263E1">
              <w:t>2.5</w:t>
            </w:r>
          </w:p>
        </w:tc>
        <w:tc>
          <w:tcPr>
            <w:tcW w:w="900" w:type="dxa"/>
            <w:vAlign w:val="center"/>
          </w:tcPr>
          <w:p w14:paraId="1C11A858" w14:textId="77777777" w:rsidR="00A24525" w:rsidRPr="007263E1" w:rsidRDefault="00A24525" w:rsidP="00821F9B">
            <w:r w:rsidRPr="007263E1">
              <w:t>123</w:t>
            </w:r>
          </w:p>
        </w:tc>
        <w:tc>
          <w:tcPr>
            <w:tcW w:w="720" w:type="dxa"/>
          </w:tcPr>
          <w:p w14:paraId="6C73E9DE" w14:textId="77777777" w:rsidR="00A24525" w:rsidRPr="007263E1" w:rsidRDefault="00A24525" w:rsidP="00821F9B">
            <w:r w:rsidRPr="007263E1">
              <w:t>100</w:t>
            </w:r>
          </w:p>
        </w:tc>
      </w:tr>
      <w:tr w:rsidR="00A24525" w:rsidRPr="007263E1" w14:paraId="03E5970C" w14:textId="77777777" w:rsidTr="00A24525">
        <w:tc>
          <w:tcPr>
            <w:tcW w:w="900" w:type="dxa"/>
            <w:vAlign w:val="center"/>
          </w:tcPr>
          <w:p w14:paraId="69F2E3C0" w14:textId="77777777" w:rsidR="00A24525" w:rsidRPr="007263E1" w:rsidRDefault="00A24525" w:rsidP="00821F9B">
            <w:r w:rsidRPr="007263E1">
              <w:t>2008</w:t>
            </w:r>
          </w:p>
        </w:tc>
        <w:tc>
          <w:tcPr>
            <w:tcW w:w="810" w:type="dxa"/>
            <w:vAlign w:val="center"/>
          </w:tcPr>
          <w:p w14:paraId="26183071" w14:textId="77777777" w:rsidR="00A24525" w:rsidRPr="007263E1" w:rsidRDefault="00A24525" w:rsidP="00821F9B">
            <w:r w:rsidRPr="007263E1">
              <w:t>75</w:t>
            </w:r>
          </w:p>
        </w:tc>
        <w:tc>
          <w:tcPr>
            <w:tcW w:w="630" w:type="dxa"/>
            <w:vAlign w:val="center"/>
          </w:tcPr>
          <w:p w14:paraId="090723EA" w14:textId="77777777" w:rsidR="00A24525" w:rsidRPr="007263E1" w:rsidRDefault="00A24525" w:rsidP="00821F9B">
            <w:r w:rsidRPr="007263E1">
              <w:t>54</w:t>
            </w:r>
          </w:p>
        </w:tc>
        <w:tc>
          <w:tcPr>
            <w:tcW w:w="900" w:type="dxa"/>
            <w:vAlign w:val="center"/>
          </w:tcPr>
          <w:p w14:paraId="71F978B5" w14:textId="77777777" w:rsidR="00A24525" w:rsidRPr="007263E1" w:rsidRDefault="00A24525" w:rsidP="00821F9B">
            <w:r w:rsidRPr="007263E1">
              <w:t>33</w:t>
            </w:r>
          </w:p>
        </w:tc>
        <w:tc>
          <w:tcPr>
            <w:tcW w:w="630" w:type="dxa"/>
            <w:vAlign w:val="center"/>
          </w:tcPr>
          <w:p w14:paraId="0A98BA82" w14:textId="77777777" w:rsidR="00A24525" w:rsidRPr="007263E1" w:rsidRDefault="00A24525" w:rsidP="00821F9B">
            <w:r w:rsidRPr="007263E1">
              <w:t>24.7</w:t>
            </w:r>
          </w:p>
        </w:tc>
        <w:tc>
          <w:tcPr>
            <w:tcW w:w="990" w:type="dxa"/>
            <w:vAlign w:val="center"/>
          </w:tcPr>
          <w:p w14:paraId="2037BF5B" w14:textId="77777777" w:rsidR="00A24525" w:rsidRPr="007263E1" w:rsidRDefault="00A24525" w:rsidP="00821F9B">
            <w:r w:rsidRPr="007263E1">
              <w:t>31</w:t>
            </w:r>
          </w:p>
        </w:tc>
        <w:tc>
          <w:tcPr>
            <w:tcW w:w="630" w:type="dxa"/>
            <w:vAlign w:val="center"/>
          </w:tcPr>
          <w:p w14:paraId="15B4CD65" w14:textId="77777777" w:rsidR="00A24525" w:rsidRPr="007263E1" w:rsidRDefault="00A24525" w:rsidP="00821F9B">
            <w:r w:rsidRPr="007263E1">
              <w:t>21.3</w:t>
            </w:r>
          </w:p>
        </w:tc>
        <w:tc>
          <w:tcPr>
            <w:tcW w:w="1260" w:type="dxa"/>
            <w:vAlign w:val="center"/>
          </w:tcPr>
          <w:p w14:paraId="54384C2B" w14:textId="77777777" w:rsidR="00A24525" w:rsidRPr="007263E1" w:rsidRDefault="00A24525" w:rsidP="00821F9B">
            <w:r w:rsidRPr="007263E1">
              <w:t>0</w:t>
            </w:r>
          </w:p>
        </w:tc>
        <w:tc>
          <w:tcPr>
            <w:tcW w:w="630" w:type="dxa"/>
            <w:vAlign w:val="center"/>
          </w:tcPr>
          <w:p w14:paraId="0ECEFB78" w14:textId="77777777" w:rsidR="00A24525" w:rsidRPr="007263E1" w:rsidRDefault="00A24525" w:rsidP="00821F9B">
            <w:r w:rsidRPr="007263E1">
              <w:t>0</w:t>
            </w:r>
          </w:p>
        </w:tc>
        <w:tc>
          <w:tcPr>
            <w:tcW w:w="900" w:type="dxa"/>
            <w:vAlign w:val="center"/>
          </w:tcPr>
          <w:p w14:paraId="3591E903" w14:textId="77777777" w:rsidR="00A24525" w:rsidRPr="007263E1" w:rsidRDefault="00A24525" w:rsidP="00821F9B">
            <w:r w:rsidRPr="007263E1">
              <w:t>139</w:t>
            </w:r>
          </w:p>
        </w:tc>
        <w:tc>
          <w:tcPr>
            <w:tcW w:w="720" w:type="dxa"/>
          </w:tcPr>
          <w:p w14:paraId="39A4D754" w14:textId="77777777" w:rsidR="00A24525" w:rsidRPr="007263E1" w:rsidRDefault="00A24525" w:rsidP="00821F9B">
            <w:r w:rsidRPr="007263E1">
              <w:t>100</w:t>
            </w:r>
          </w:p>
        </w:tc>
      </w:tr>
      <w:tr w:rsidR="00A24525" w:rsidRPr="007263E1" w14:paraId="779EA3D1" w14:textId="77777777" w:rsidTr="00A24525">
        <w:tc>
          <w:tcPr>
            <w:tcW w:w="900" w:type="dxa"/>
            <w:vAlign w:val="center"/>
          </w:tcPr>
          <w:p w14:paraId="19E05F8F" w14:textId="77777777" w:rsidR="00A24525" w:rsidRPr="007263E1" w:rsidRDefault="00A24525" w:rsidP="00821F9B">
            <w:r w:rsidRPr="007263E1">
              <w:t>2009</w:t>
            </w:r>
          </w:p>
        </w:tc>
        <w:tc>
          <w:tcPr>
            <w:tcW w:w="810" w:type="dxa"/>
            <w:vAlign w:val="center"/>
          </w:tcPr>
          <w:p w14:paraId="4FBEAD44" w14:textId="77777777" w:rsidR="00A24525" w:rsidRPr="007263E1" w:rsidRDefault="00A24525" w:rsidP="00821F9B">
            <w:r w:rsidRPr="007263E1">
              <w:t>60</w:t>
            </w:r>
          </w:p>
        </w:tc>
        <w:tc>
          <w:tcPr>
            <w:tcW w:w="630" w:type="dxa"/>
            <w:vAlign w:val="center"/>
          </w:tcPr>
          <w:p w14:paraId="6109EC02" w14:textId="77777777" w:rsidR="00A24525" w:rsidRPr="007263E1" w:rsidRDefault="00A24525" w:rsidP="00821F9B">
            <w:r w:rsidRPr="007263E1">
              <w:t>48.4</w:t>
            </w:r>
          </w:p>
        </w:tc>
        <w:tc>
          <w:tcPr>
            <w:tcW w:w="900" w:type="dxa"/>
            <w:vAlign w:val="center"/>
          </w:tcPr>
          <w:p w14:paraId="54AFEE8E" w14:textId="77777777" w:rsidR="00A24525" w:rsidRPr="007263E1" w:rsidRDefault="00A24525" w:rsidP="00821F9B">
            <w:r w:rsidRPr="007263E1">
              <w:t>37</w:t>
            </w:r>
          </w:p>
        </w:tc>
        <w:tc>
          <w:tcPr>
            <w:tcW w:w="630" w:type="dxa"/>
            <w:vAlign w:val="center"/>
          </w:tcPr>
          <w:p w14:paraId="7C5F91A7" w14:textId="77777777" w:rsidR="00A24525" w:rsidRPr="007263E1" w:rsidRDefault="00A24525" w:rsidP="00821F9B">
            <w:r w:rsidRPr="007263E1">
              <w:t>29.8</w:t>
            </w:r>
          </w:p>
        </w:tc>
        <w:tc>
          <w:tcPr>
            <w:tcW w:w="990" w:type="dxa"/>
            <w:vAlign w:val="center"/>
          </w:tcPr>
          <w:p w14:paraId="7963AC39" w14:textId="77777777" w:rsidR="00A24525" w:rsidRPr="007263E1" w:rsidRDefault="00A24525" w:rsidP="00821F9B">
            <w:r w:rsidRPr="007263E1">
              <w:t>26</w:t>
            </w:r>
          </w:p>
        </w:tc>
        <w:tc>
          <w:tcPr>
            <w:tcW w:w="630" w:type="dxa"/>
            <w:vAlign w:val="center"/>
          </w:tcPr>
          <w:p w14:paraId="7FD310F2" w14:textId="77777777" w:rsidR="00A24525" w:rsidRPr="007263E1" w:rsidRDefault="00A24525" w:rsidP="00821F9B">
            <w:r w:rsidRPr="007263E1">
              <w:t>21</w:t>
            </w:r>
          </w:p>
        </w:tc>
        <w:tc>
          <w:tcPr>
            <w:tcW w:w="1260" w:type="dxa"/>
            <w:vAlign w:val="center"/>
          </w:tcPr>
          <w:p w14:paraId="5F3E190F" w14:textId="77777777" w:rsidR="00A24525" w:rsidRPr="007263E1" w:rsidRDefault="00A24525" w:rsidP="00821F9B">
            <w:r w:rsidRPr="007263E1">
              <w:t>1</w:t>
            </w:r>
          </w:p>
        </w:tc>
        <w:tc>
          <w:tcPr>
            <w:tcW w:w="630" w:type="dxa"/>
            <w:vAlign w:val="center"/>
          </w:tcPr>
          <w:p w14:paraId="6C544C1B" w14:textId="77777777" w:rsidR="00A24525" w:rsidRPr="007263E1" w:rsidRDefault="00A24525" w:rsidP="00821F9B">
            <w:r w:rsidRPr="007263E1">
              <w:t>0.8</w:t>
            </w:r>
          </w:p>
        </w:tc>
        <w:tc>
          <w:tcPr>
            <w:tcW w:w="900" w:type="dxa"/>
            <w:vAlign w:val="center"/>
          </w:tcPr>
          <w:p w14:paraId="78F8AB14" w14:textId="77777777" w:rsidR="00A24525" w:rsidRPr="007263E1" w:rsidRDefault="00A24525" w:rsidP="00821F9B">
            <w:r w:rsidRPr="007263E1">
              <w:t>124</w:t>
            </w:r>
          </w:p>
        </w:tc>
        <w:tc>
          <w:tcPr>
            <w:tcW w:w="720" w:type="dxa"/>
          </w:tcPr>
          <w:p w14:paraId="76C82775" w14:textId="77777777" w:rsidR="00A24525" w:rsidRPr="007263E1" w:rsidRDefault="00A24525" w:rsidP="00821F9B">
            <w:r w:rsidRPr="007263E1">
              <w:t>100</w:t>
            </w:r>
          </w:p>
        </w:tc>
      </w:tr>
      <w:tr w:rsidR="00A24525" w:rsidRPr="007263E1" w14:paraId="37DBCBBD" w14:textId="77777777" w:rsidTr="00A24525">
        <w:tc>
          <w:tcPr>
            <w:tcW w:w="900" w:type="dxa"/>
            <w:vAlign w:val="center"/>
          </w:tcPr>
          <w:p w14:paraId="1BFF93EC" w14:textId="77777777" w:rsidR="00A24525" w:rsidRPr="007263E1" w:rsidRDefault="00A24525" w:rsidP="00821F9B">
            <w:r w:rsidRPr="007263E1">
              <w:t>2010</w:t>
            </w:r>
          </w:p>
        </w:tc>
        <w:tc>
          <w:tcPr>
            <w:tcW w:w="810" w:type="dxa"/>
            <w:vAlign w:val="center"/>
          </w:tcPr>
          <w:p w14:paraId="36DA761D" w14:textId="77777777" w:rsidR="00A24525" w:rsidRPr="007263E1" w:rsidRDefault="00A24525" w:rsidP="00821F9B">
            <w:r w:rsidRPr="007263E1">
              <w:t>70</w:t>
            </w:r>
          </w:p>
        </w:tc>
        <w:tc>
          <w:tcPr>
            <w:tcW w:w="630" w:type="dxa"/>
            <w:vAlign w:val="center"/>
          </w:tcPr>
          <w:p w14:paraId="75F204E8" w14:textId="77777777" w:rsidR="00A24525" w:rsidRPr="007263E1" w:rsidRDefault="00A24525" w:rsidP="00821F9B">
            <w:r w:rsidRPr="007263E1">
              <w:t>52.2</w:t>
            </w:r>
          </w:p>
        </w:tc>
        <w:tc>
          <w:tcPr>
            <w:tcW w:w="900" w:type="dxa"/>
            <w:vAlign w:val="center"/>
          </w:tcPr>
          <w:p w14:paraId="60B33855" w14:textId="77777777" w:rsidR="00A24525" w:rsidRPr="007263E1" w:rsidRDefault="00A24525" w:rsidP="00821F9B">
            <w:r w:rsidRPr="007263E1">
              <w:t>40</w:t>
            </w:r>
          </w:p>
        </w:tc>
        <w:tc>
          <w:tcPr>
            <w:tcW w:w="630" w:type="dxa"/>
            <w:vAlign w:val="center"/>
          </w:tcPr>
          <w:p w14:paraId="5684FF0D" w14:textId="77777777" w:rsidR="00A24525" w:rsidRPr="007263E1" w:rsidRDefault="00A24525" w:rsidP="00821F9B">
            <w:r w:rsidRPr="007263E1">
              <w:t>29.9</w:t>
            </w:r>
          </w:p>
        </w:tc>
        <w:tc>
          <w:tcPr>
            <w:tcW w:w="990" w:type="dxa"/>
            <w:vAlign w:val="center"/>
          </w:tcPr>
          <w:p w14:paraId="47397E53" w14:textId="77777777" w:rsidR="00A24525" w:rsidRPr="007263E1" w:rsidRDefault="00A24525" w:rsidP="00821F9B">
            <w:r w:rsidRPr="007263E1">
              <w:t>24</w:t>
            </w:r>
          </w:p>
        </w:tc>
        <w:tc>
          <w:tcPr>
            <w:tcW w:w="630" w:type="dxa"/>
            <w:vAlign w:val="center"/>
          </w:tcPr>
          <w:p w14:paraId="03AFFF83" w14:textId="77777777" w:rsidR="00A24525" w:rsidRPr="007263E1" w:rsidRDefault="00A24525" w:rsidP="00821F9B">
            <w:r w:rsidRPr="007263E1">
              <w:t>17.9</w:t>
            </w:r>
          </w:p>
        </w:tc>
        <w:tc>
          <w:tcPr>
            <w:tcW w:w="1260" w:type="dxa"/>
            <w:vAlign w:val="center"/>
          </w:tcPr>
          <w:p w14:paraId="11E9F166" w14:textId="77777777" w:rsidR="00A24525" w:rsidRPr="007263E1" w:rsidRDefault="00A24525" w:rsidP="00821F9B">
            <w:r w:rsidRPr="007263E1">
              <w:t>0</w:t>
            </w:r>
          </w:p>
        </w:tc>
        <w:tc>
          <w:tcPr>
            <w:tcW w:w="630" w:type="dxa"/>
            <w:vAlign w:val="center"/>
          </w:tcPr>
          <w:p w14:paraId="56DEA15B" w14:textId="77777777" w:rsidR="00A24525" w:rsidRPr="007263E1" w:rsidRDefault="00A24525" w:rsidP="00821F9B">
            <w:r w:rsidRPr="007263E1">
              <w:t>0</w:t>
            </w:r>
          </w:p>
        </w:tc>
        <w:tc>
          <w:tcPr>
            <w:tcW w:w="900" w:type="dxa"/>
            <w:vAlign w:val="center"/>
          </w:tcPr>
          <w:p w14:paraId="35E10EF4" w14:textId="77777777" w:rsidR="00A24525" w:rsidRPr="007263E1" w:rsidRDefault="00A24525" w:rsidP="00821F9B">
            <w:r w:rsidRPr="007263E1">
              <w:t>134</w:t>
            </w:r>
          </w:p>
        </w:tc>
        <w:tc>
          <w:tcPr>
            <w:tcW w:w="720" w:type="dxa"/>
          </w:tcPr>
          <w:p w14:paraId="160779E4" w14:textId="77777777" w:rsidR="00A24525" w:rsidRPr="007263E1" w:rsidRDefault="00A24525" w:rsidP="00821F9B">
            <w:r w:rsidRPr="007263E1">
              <w:t>100</w:t>
            </w:r>
          </w:p>
        </w:tc>
      </w:tr>
      <w:tr w:rsidR="00A24525" w:rsidRPr="007263E1" w14:paraId="48FAC444" w14:textId="77777777" w:rsidTr="00A24525">
        <w:tc>
          <w:tcPr>
            <w:tcW w:w="900" w:type="dxa"/>
            <w:vAlign w:val="center"/>
          </w:tcPr>
          <w:p w14:paraId="0623D613" w14:textId="77777777" w:rsidR="00A24525" w:rsidRPr="007263E1" w:rsidRDefault="00A24525" w:rsidP="00821F9B">
            <w:r w:rsidRPr="007263E1">
              <w:t>2011</w:t>
            </w:r>
          </w:p>
        </w:tc>
        <w:tc>
          <w:tcPr>
            <w:tcW w:w="810" w:type="dxa"/>
            <w:vAlign w:val="center"/>
          </w:tcPr>
          <w:p w14:paraId="27D84429" w14:textId="77777777" w:rsidR="00A24525" w:rsidRPr="007263E1" w:rsidRDefault="00A24525" w:rsidP="00821F9B">
            <w:r w:rsidRPr="007263E1">
              <w:t>66</w:t>
            </w:r>
          </w:p>
        </w:tc>
        <w:tc>
          <w:tcPr>
            <w:tcW w:w="630" w:type="dxa"/>
            <w:vAlign w:val="center"/>
          </w:tcPr>
          <w:p w14:paraId="2EBBA7A5" w14:textId="77777777" w:rsidR="00A24525" w:rsidRPr="007263E1" w:rsidRDefault="00A24525" w:rsidP="00821F9B">
            <w:r w:rsidRPr="007263E1">
              <w:t>45.5</w:t>
            </w:r>
          </w:p>
        </w:tc>
        <w:tc>
          <w:tcPr>
            <w:tcW w:w="900" w:type="dxa"/>
            <w:vAlign w:val="center"/>
          </w:tcPr>
          <w:p w14:paraId="701B3B1B" w14:textId="77777777" w:rsidR="00A24525" w:rsidRPr="007263E1" w:rsidRDefault="00A24525" w:rsidP="00821F9B">
            <w:r w:rsidRPr="007263E1">
              <w:t>32</w:t>
            </w:r>
          </w:p>
        </w:tc>
        <w:tc>
          <w:tcPr>
            <w:tcW w:w="630" w:type="dxa"/>
            <w:vAlign w:val="center"/>
          </w:tcPr>
          <w:p w14:paraId="5FB776AA" w14:textId="77777777" w:rsidR="00A24525" w:rsidRPr="007263E1" w:rsidRDefault="00A24525" w:rsidP="00821F9B">
            <w:r w:rsidRPr="007263E1">
              <w:t>22.1</w:t>
            </w:r>
          </w:p>
        </w:tc>
        <w:tc>
          <w:tcPr>
            <w:tcW w:w="990" w:type="dxa"/>
            <w:vAlign w:val="center"/>
          </w:tcPr>
          <w:p w14:paraId="1C503B57" w14:textId="77777777" w:rsidR="00A24525" w:rsidRPr="007263E1" w:rsidRDefault="00A24525" w:rsidP="00821F9B">
            <w:r w:rsidRPr="007263E1">
              <w:t>45</w:t>
            </w:r>
          </w:p>
        </w:tc>
        <w:tc>
          <w:tcPr>
            <w:tcW w:w="630" w:type="dxa"/>
            <w:vAlign w:val="center"/>
          </w:tcPr>
          <w:p w14:paraId="4D013B71" w14:textId="77777777" w:rsidR="00A24525" w:rsidRPr="007263E1" w:rsidRDefault="00A24525" w:rsidP="00821F9B">
            <w:r w:rsidRPr="007263E1">
              <w:t>31</w:t>
            </w:r>
          </w:p>
        </w:tc>
        <w:tc>
          <w:tcPr>
            <w:tcW w:w="1260" w:type="dxa"/>
            <w:vAlign w:val="center"/>
          </w:tcPr>
          <w:p w14:paraId="435238CA" w14:textId="77777777" w:rsidR="00A24525" w:rsidRPr="007263E1" w:rsidRDefault="00A24525" w:rsidP="00821F9B">
            <w:r w:rsidRPr="007263E1">
              <w:t>2</w:t>
            </w:r>
          </w:p>
        </w:tc>
        <w:tc>
          <w:tcPr>
            <w:tcW w:w="630" w:type="dxa"/>
            <w:vAlign w:val="center"/>
          </w:tcPr>
          <w:p w14:paraId="445975F3" w14:textId="77777777" w:rsidR="00A24525" w:rsidRPr="007263E1" w:rsidRDefault="00A24525" w:rsidP="00821F9B">
            <w:r w:rsidRPr="007263E1">
              <w:t>1.4</w:t>
            </w:r>
          </w:p>
        </w:tc>
        <w:tc>
          <w:tcPr>
            <w:tcW w:w="900" w:type="dxa"/>
            <w:vAlign w:val="center"/>
          </w:tcPr>
          <w:p w14:paraId="370EB994" w14:textId="77777777" w:rsidR="00A24525" w:rsidRPr="007263E1" w:rsidRDefault="00A24525" w:rsidP="00821F9B">
            <w:r w:rsidRPr="007263E1">
              <w:t>145</w:t>
            </w:r>
          </w:p>
        </w:tc>
        <w:tc>
          <w:tcPr>
            <w:tcW w:w="720" w:type="dxa"/>
          </w:tcPr>
          <w:p w14:paraId="4AF2357C" w14:textId="77777777" w:rsidR="00A24525" w:rsidRPr="007263E1" w:rsidRDefault="00A24525" w:rsidP="00821F9B">
            <w:r w:rsidRPr="007263E1">
              <w:t>100</w:t>
            </w:r>
          </w:p>
        </w:tc>
      </w:tr>
      <w:tr w:rsidR="00A24525" w:rsidRPr="007263E1" w14:paraId="3DFCB0DA" w14:textId="77777777" w:rsidTr="00A24525">
        <w:tc>
          <w:tcPr>
            <w:tcW w:w="900" w:type="dxa"/>
            <w:vAlign w:val="center"/>
          </w:tcPr>
          <w:p w14:paraId="574845F5" w14:textId="77777777" w:rsidR="00A24525" w:rsidRPr="007263E1" w:rsidRDefault="00A24525" w:rsidP="00821F9B">
            <w:r w:rsidRPr="007263E1">
              <w:t>Total</w:t>
            </w:r>
          </w:p>
        </w:tc>
        <w:tc>
          <w:tcPr>
            <w:tcW w:w="810" w:type="dxa"/>
            <w:vAlign w:val="center"/>
          </w:tcPr>
          <w:p w14:paraId="0AB0BF5E" w14:textId="77777777" w:rsidR="00A24525" w:rsidRPr="007263E1" w:rsidRDefault="00A24525" w:rsidP="00821F9B">
            <w:r w:rsidRPr="007263E1">
              <w:t>321</w:t>
            </w:r>
          </w:p>
        </w:tc>
        <w:tc>
          <w:tcPr>
            <w:tcW w:w="630" w:type="dxa"/>
            <w:vAlign w:val="center"/>
          </w:tcPr>
          <w:p w14:paraId="39AA3A30" w14:textId="77777777" w:rsidR="00A24525" w:rsidRPr="007263E1" w:rsidRDefault="00A24525" w:rsidP="00821F9B">
            <w:r w:rsidRPr="007263E1">
              <w:t>48.3</w:t>
            </w:r>
          </w:p>
        </w:tc>
        <w:tc>
          <w:tcPr>
            <w:tcW w:w="900" w:type="dxa"/>
            <w:vAlign w:val="center"/>
          </w:tcPr>
          <w:p w14:paraId="52871063" w14:textId="77777777" w:rsidR="00A24525" w:rsidRPr="007263E1" w:rsidRDefault="00A24525" w:rsidP="00821F9B">
            <w:r w:rsidRPr="007263E1">
              <w:t>174</w:t>
            </w:r>
          </w:p>
        </w:tc>
        <w:tc>
          <w:tcPr>
            <w:tcW w:w="630" w:type="dxa"/>
            <w:vAlign w:val="center"/>
          </w:tcPr>
          <w:p w14:paraId="228C94B6" w14:textId="77777777" w:rsidR="00A24525" w:rsidRPr="007263E1" w:rsidRDefault="00A24525" w:rsidP="00821F9B">
            <w:r w:rsidRPr="007263E1">
              <w:t>26.2</w:t>
            </w:r>
          </w:p>
        </w:tc>
        <w:tc>
          <w:tcPr>
            <w:tcW w:w="990" w:type="dxa"/>
            <w:vAlign w:val="center"/>
          </w:tcPr>
          <w:p w14:paraId="0631CF6E" w14:textId="77777777" w:rsidR="00A24525" w:rsidRPr="007263E1" w:rsidRDefault="00A24525" w:rsidP="00821F9B">
            <w:r w:rsidRPr="007263E1">
              <w:t>164</w:t>
            </w:r>
          </w:p>
        </w:tc>
        <w:tc>
          <w:tcPr>
            <w:tcW w:w="630" w:type="dxa"/>
            <w:vAlign w:val="center"/>
          </w:tcPr>
          <w:p w14:paraId="3FEF631D" w14:textId="77777777" w:rsidR="00A24525" w:rsidRPr="007263E1" w:rsidRDefault="00A24525" w:rsidP="00821F9B">
            <w:r w:rsidRPr="007263E1">
              <w:t>24.6</w:t>
            </w:r>
          </w:p>
        </w:tc>
        <w:tc>
          <w:tcPr>
            <w:tcW w:w="1260" w:type="dxa"/>
            <w:vAlign w:val="center"/>
          </w:tcPr>
          <w:p w14:paraId="5DBA1332" w14:textId="77777777" w:rsidR="00A24525" w:rsidRPr="007263E1" w:rsidRDefault="00A24525" w:rsidP="00821F9B">
            <w:r w:rsidRPr="007263E1">
              <w:t>6</w:t>
            </w:r>
          </w:p>
        </w:tc>
        <w:tc>
          <w:tcPr>
            <w:tcW w:w="630" w:type="dxa"/>
            <w:vAlign w:val="center"/>
          </w:tcPr>
          <w:p w14:paraId="467F3FD4" w14:textId="77777777" w:rsidR="00A24525" w:rsidRPr="007263E1" w:rsidRDefault="00A24525" w:rsidP="00821F9B">
            <w:r w:rsidRPr="007263E1">
              <w:t>0.9</w:t>
            </w:r>
          </w:p>
        </w:tc>
        <w:tc>
          <w:tcPr>
            <w:tcW w:w="900" w:type="dxa"/>
            <w:vAlign w:val="center"/>
          </w:tcPr>
          <w:p w14:paraId="1AC0799D" w14:textId="77777777" w:rsidR="00A24525" w:rsidRPr="007263E1" w:rsidRDefault="00A24525" w:rsidP="00821F9B">
            <w:r w:rsidRPr="007263E1">
              <w:t>665</w:t>
            </w:r>
          </w:p>
        </w:tc>
        <w:tc>
          <w:tcPr>
            <w:tcW w:w="720" w:type="dxa"/>
          </w:tcPr>
          <w:p w14:paraId="65064E74" w14:textId="77777777" w:rsidR="00A24525" w:rsidRPr="007263E1" w:rsidRDefault="00A24525" w:rsidP="00821F9B">
            <w:r w:rsidRPr="007263E1">
              <w:t>100</w:t>
            </w:r>
          </w:p>
        </w:tc>
      </w:tr>
    </w:tbl>
    <w:p w14:paraId="22196693" w14:textId="77777777" w:rsidR="00963A53" w:rsidRPr="007263E1" w:rsidRDefault="00963A53" w:rsidP="00631AE2">
      <w:pPr>
        <w:jc w:val="both"/>
        <w:rPr>
          <w:rFonts w:ascii="Times New Roman" w:hAnsi="Times New Roman" w:cs="Times New Roman"/>
        </w:rPr>
      </w:pPr>
    </w:p>
    <w:p w14:paraId="4380E4E7" w14:textId="77777777" w:rsidR="00EE0248" w:rsidRPr="007263E1" w:rsidRDefault="00A24525" w:rsidP="00631AE2">
      <w:pPr>
        <w:jc w:val="both"/>
        <w:rPr>
          <w:rFonts w:ascii="Times New Roman" w:hAnsi="Times New Roman" w:cs="Times New Roman"/>
        </w:rPr>
      </w:pPr>
      <w:r w:rsidRPr="007263E1">
        <w:rPr>
          <w:rFonts w:ascii="Times New Roman" w:hAnsi="Times New Roman" w:cs="Times New Roman"/>
        </w:rPr>
        <w:tab/>
      </w:r>
    </w:p>
    <w:p w14:paraId="42DA410B" w14:textId="77777777" w:rsidR="00963A53" w:rsidRPr="007263E1" w:rsidRDefault="00EE0248" w:rsidP="00631AE2">
      <w:pPr>
        <w:jc w:val="both"/>
        <w:rPr>
          <w:rFonts w:ascii="Times New Roman" w:hAnsi="Times New Roman" w:cs="Times New Roman"/>
        </w:rPr>
      </w:pPr>
      <w:r w:rsidRPr="007263E1">
        <w:rPr>
          <w:rFonts w:ascii="Times New Roman" w:hAnsi="Times New Roman" w:cs="Times New Roman"/>
        </w:rPr>
        <w:t>Figure 1:</w:t>
      </w:r>
    </w:p>
    <w:p w14:paraId="49FE15A4" w14:textId="77777777" w:rsidR="00EE0248" w:rsidRPr="007263E1" w:rsidRDefault="00EE0248" w:rsidP="00631AE2">
      <w:pPr>
        <w:jc w:val="both"/>
        <w:rPr>
          <w:rFonts w:ascii="Times New Roman" w:hAnsi="Times New Roman" w:cs="Times New Roman"/>
        </w:rPr>
      </w:pPr>
    </w:p>
    <w:p w14:paraId="33911BD5" w14:textId="77777777" w:rsidR="00963A53" w:rsidRPr="007263E1" w:rsidRDefault="00963A53" w:rsidP="00802B8D">
      <w:pPr>
        <w:rPr>
          <w:rFonts w:ascii="Times New Roman" w:hAnsi="Times New Roman" w:cs="Times New Roman"/>
        </w:rPr>
      </w:pPr>
      <w:r w:rsidRPr="007263E1">
        <w:rPr>
          <w:rFonts w:ascii="Times New Roman" w:hAnsi="Times New Roman" w:cs="Times New Roman"/>
          <w:noProof/>
        </w:rPr>
        <w:drawing>
          <wp:inline distT="0" distB="0" distL="0" distR="0" wp14:anchorId="3E193371" wp14:editId="67D73D01">
            <wp:extent cx="5324475" cy="25527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E57964" w14:textId="77777777" w:rsidR="00963A53" w:rsidRPr="007263E1" w:rsidRDefault="00963A53" w:rsidP="00631AE2">
      <w:pPr>
        <w:jc w:val="both"/>
        <w:rPr>
          <w:rFonts w:ascii="Times New Roman" w:hAnsi="Times New Roman" w:cs="Times New Roman"/>
        </w:rPr>
      </w:pPr>
    </w:p>
    <w:p w14:paraId="5E6EE850" w14:textId="77777777" w:rsidR="00A1157A" w:rsidRPr="007263E1" w:rsidRDefault="00A1157A" w:rsidP="00631AE2">
      <w:pPr>
        <w:jc w:val="both"/>
        <w:rPr>
          <w:rFonts w:ascii="Times New Roman" w:hAnsi="Times New Roman" w:cs="Times New Roman"/>
        </w:rPr>
      </w:pPr>
    </w:p>
    <w:p w14:paraId="5FD32FFC" w14:textId="77777777" w:rsidR="00A1157A" w:rsidRPr="007263E1" w:rsidRDefault="00A1157A" w:rsidP="00631AE2">
      <w:pPr>
        <w:jc w:val="both"/>
        <w:rPr>
          <w:rFonts w:ascii="Times New Roman" w:hAnsi="Times New Roman" w:cs="Times New Roman"/>
        </w:rPr>
      </w:pPr>
    </w:p>
    <w:p w14:paraId="43E4B81B" w14:textId="77777777" w:rsidR="00EE0248" w:rsidRPr="007263E1" w:rsidRDefault="00EE0248" w:rsidP="00631AE2">
      <w:pPr>
        <w:jc w:val="both"/>
        <w:rPr>
          <w:rFonts w:ascii="Times New Roman" w:hAnsi="Times New Roman" w:cs="Times New Roman"/>
        </w:rPr>
      </w:pPr>
      <w:r w:rsidRPr="007263E1">
        <w:rPr>
          <w:rFonts w:ascii="Times New Roman" w:hAnsi="Times New Roman" w:cs="Times New Roman"/>
        </w:rPr>
        <w:t>Figure 2:</w:t>
      </w:r>
    </w:p>
    <w:p w14:paraId="3877AA51" w14:textId="77777777" w:rsidR="00EE0248" w:rsidRPr="007263E1" w:rsidRDefault="00EE0248" w:rsidP="00631AE2">
      <w:pPr>
        <w:jc w:val="both"/>
        <w:rPr>
          <w:rFonts w:ascii="Times New Roman" w:hAnsi="Times New Roman" w:cs="Times New Roman"/>
        </w:rPr>
      </w:pPr>
    </w:p>
    <w:p w14:paraId="61CDBC57" w14:textId="77777777" w:rsidR="00A1157A" w:rsidRPr="007263E1" w:rsidRDefault="00963A53" w:rsidP="008538E7">
      <w:pPr>
        <w:rPr>
          <w:rFonts w:ascii="Times New Roman" w:hAnsi="Times New Roman" w:cs="Times New Roman"/>
        </w:rPr>
      </w:pPr>
      <w:r w:rsidRPr="007263E1">
        <w:rPr>
          <w:rFonts w:ascii="Times New Roman" w:hAnsi="Times New Roman" w:cs="Times New Roman"/>
          <w:noProof/>
        </w:rPr>
        <w:drawing>
          <wp:inline distT="0" distB="0" distL="0" distR="0" wp14:anchorId="474C5017" wp14:editId="55A95E71">
            <wp:extent cx="5343525" cy="2552700"/>
            <wp:effectExtent l="19050" t="0" r="9525"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BF4A6C" w14:textId="77777777" w:rsidR="00A1157A" w:rsidRPr="007263E1" w:rsidRDefault="00A1157A" w:rsidP="00631AE2">
      <w:pPr>
        <w:jc w:val="both"/>
        <w:rPr>
          <w:rFonts w:ascii="Times New Roman" w:hAnsi="Times New Roman" w:cs="Times New Roman"/>
        </w:rPr>
      </w:pPr>
    </w:p>
    <w:p w14:paraId="4196CB87" w14:textId="77777777" w:rsidR="009527F8" w:rsidRPr="007263E1" w:rsidRDefault="009527F8" w:rsidP="00631AE2">
      <w:pPr>
        <w:jc w:val="both"/>
        <w:rPr>
          <w:rFonts w:ascii="Times New Roman" w:hAnsi="Times New Roman" w:cs="Times New Roman"/>
        </w:rPr>
      </w:pPr>
    </w:p>
    <w:p w14:paraId="510AE005" w14:textId="77777777" w:rsidR="00EE0248" w:rsidRPr="007263E1" w:rsidRDefault="00EE0248" w:rsidP="00631AE2">
      <w:pPr>
        <w:jc w:val="both"/>
        <w:rPr>
          <w:rFonts w:ascii="Times New Roman" w:hAnsi="Times New Roman" w:cs="Times New Roman"/>
        </w:rPr>
      </w:pPr>
    </w:p>
    <w:p w14:paraId="294101D3" w14:textId="77777777" w:rsidR="008538E7" w:rsidRDefault="008538E7" w:rsidP="008538E7">
      <w:pPr>
        <w:jc w:val="both"/>
        <w:rPr>
          <w:rFonts w:ascii="Times New Roman" w:hAnsi="Times New Roman" w:cs="Times New Roman"/>
        </w:rPr>
        <w:sectPr w:rsidR="008538E7" w:rsidSect="00B50CA1">
          <w:type w:val="continuous"/>
          <w:pgSz w:w="11907" w:h="16839" w:code="9"/>
          <w:pgMar w:top="1440" w:right="1440" w:bottom="1440" w:left="1440" w:header="720" w:footer="720" w:gutter="0"/>
          <w:cols w:space="720"/>
          <w:docGrid w:linePitch="360"/>
        </w:sectPr>
      </w:pPr>
    </w:p>
    <w:p w14:paraId="3DEFC59B" w14:textId="77777777" w:rsidR="008538E7" w:rsidRDefault="008538E7" w:rsidP="008538E7">
      <w:pPr>
        <w:jc w:val="both"/>
        <w:rPr>
          <w:rFonts w:ascii="Times New Roman" w:hAnsi="Times New Roman" w:cs="Times New Roman"/>
        </w:rPr>
      </w:pPr>
      <w:r w:rsidRPr="007263E1">
        <w:rPr>
          <w:rFonts w:ascii="Times New Roman" w:hAnsi="Times New Roman" w:cs="Times New Roman"/>
        </w:rPr>
        <w:lastRenderedPageBreak/>
        <w:t xml:space="preserve">Flame is the most common factor in burn wound, affecting 321 (48.3%) patients, followed by electricity 174 (26.2%) patients, scald 164 (24.6%) patients, and chemical agent 6 (0.9%) patients. </w:t>
      </w:r>
      <w:proofErr w:type="gramStart"/>
      <w:r w:rsidRPr="007263E1">
        <w:rPr>
          <w:rFonts w:ascii="Times New Roman" w:hAnsi="Times New Roman" w:cs="Times New Roman"/>
        </w:rPr>
        <w:t>(Table 3).</w:t>
      </w:r>
      <w:proofErr w:type="gramEnd"/>
    </w:p>
    <w:p w14:paraId="327CAFDD" w14:textId="77777777" w:rsidR="008538E7" w:rsidRDefault="008538E7" w:rsidP="008538E7">
      <w:pPr>
        <w:jc w:val="both"/>
        <w:rPr>
          <w:rFonts w:ascii="Times New Roman" w:hAnsi="Times New Roman" w:cs="Times New Roman"/>
        </w:rPr>
      </w:pPr>
      <w:r w:rsidRPr="007263E1">
        <w:rPr>
          <w:rFonts w:ascii="Times New Roman" w:hAnsi="Times New Roman" w:cs="Times New Roman"/>
        </w:rPr>
        <w:t xml:space="preserve">Figure 1 show distributions of caused of flame in burn injury in group of age at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 for the last 5 years shows that middle age (25-65 years) were the most group that affected by burns.</w:t>
      </w:r>
    </w:p>
    <w:p w14:paraId="747381FB" w14:textId="77777777" w:rsidR="008538E7" w:rsidRDefault="008538E7" w:rsidP="008538E7">
      <w:pPr>
        <w:jc w:val="both"/>
        <w:rPr>
          <w:rFonts w:ascii="Times New Roman" w:hAnsi="Times New Roman" w:cs="Times New Roman"/>
        </w:rPr>
      </w:pPr>
      <w:r w:rsidRPr="007263E1">
        <w:rPr>
          <w:rFonts w:ascii="Times New Roman" w:hAnsi="Times New Roman" w:cs="Times New Roman"/>
        </w:rPr>
        <w:t xml:space="preserve">Figure 2 show distribution of caused of electricity in group of age at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 for the last 5 years shows that middle age (25-65 year) were the most affected by burns.</w:t>
      </w:r>
    </w:p>
    <w:p w14:paraId="0E4E6C14" w14:textId="77777777" w:rsidR="00963A53" w:rsidRDefault="00963A53" w:rsidP="008538E7">
      <w:pPr>
        <w:jc w:val="both"/>
        <w:rPr>
          <w:rFonts w:ascii="Times New Roman" w:hAnsi="Times New Roman" w:cs="Times New Roman"/>
        </w:rPr>
      </w:pPr>
      <w:r w:rsidRPr="007263E1">
        <w:rPr>
          <w:rFonts w:ascii="Times New Roman" w:hAnsi="Times New Roman" w:cs="Times New Roman"/>
        </w:rPr>
        <w:t>Distribution of caused of scald in group of ag</w:t>
      </w:r>
      <w:r w:rsidR="007F2701" w:rsidRPr="007263E1">
        <w:rPr>
          <w:rFonts w:ascii="Times New Roman" w:hAnsi="Times New Roman" w:cs="Times New Roman"/>
        </w:rPr>
        <w:t>e for patient in Dr.</w:t>
      </w:r>
      <w:r w:rsidRPr="007263E1">
        <w:rPr>
          <w:rFonts w:ascii="Times New Roman" w:hAnsi="Times New Roman" w:cs="Times New Roman"/>
        </w:rPr>
        <w:t xml:space="preserve"> </w:t>
      </w:r>
      <w:proofErr w:type="spellStart"/>
      <w:r w:rsidRPr="007263E1">
        <w:rPr>
          <w:rFonts w:ascii="Times New Roman" w:hAnsi="Times New Roman" w:cs="Times New Roman"/>
        </w:rPr>
        <w:t>Soetomo</w:t>
      </w:r>
      <w:proofErr w:type="spellEnd"/>
      <w:r w:rsidR="007F2701" w:rsidRPr="007263E1">
        <w:rPr>
          <w:rFonts w:ascii="Times New Roman" w:hAnsi="Times New Roman" w:cs="Times New Roman"/>
        </w:rPr>
        <w:t xml:space="preserve"> General Hospital</w:t>
      </w:r>
      <w:r w:rsidRPr="007263E1">
        <w:rPr>
          <w:rFonts w:ascii="Times New Roman" w:hAnsi="Times New Roman" w:cs="Times New Roman"/>
        </w:rPr>
        <w:t xml:space="preserve"> for the last 5 years shows that age group of </w:t>
      </w:r>
      <w:r w:rsidRPr="007263E1">
        <w:rPr>
          <w:rFonts w:ascii="Times New Roman" w:hAnsi="Times New Roman" w:cs="Times New Roman"/>
        </w:rPr>
        <w:lastRenderedPageBreak/>
        <w:t>children (1-5 years) are the most affected.</w:t>
      </w:r>
      <w:r w:rsidR="007F2701" w:rsidRPr="007263E1">
        <w:rPr>
          <w:rFonts w:ascii="Times New Roman" w:hAnsi="Times New Roman" w:cs="Times New Roman"/>
        </w:rPr>
        <w:t xml:space="preserve">  </w:t>
      </w:r>
      <w:proofErr w:type="gramStart"/>
      <w:r w:rsidR="007F2701" w:rsidRPr="007263E1">
        <w:rPr>
          <w:rFonts w:ascii="Times New Roman" w:hAnsi="Times New Roman" w:cs="Times New Roman"/>
        </w:rPr>
        <w:t>(Figure 3)</w:t>
      </w:r>
      <w:r w:rsidR="008538E7">
        <w:rPr>
          <w:rFonts w:ascii="Times New Roman" w:hAnsi="Times New Roman" w:cs="Times New Roman"/>
        </w:rPr>
        <w:t>.</w:t>
      </w:r>
      <w:proofErr w:type="gramEnd"/>
    </w:p>
    <w:p w14:paraId="7194F256" w14:textId="77777777" w:rsidR="008538E7" w:rsidRDefault="008538E7" w:rsidP="008538E7">
      <w:pPr>
        <w:jc w:val="both"/>
        <w:rPr>
          <w:rFonts w:ascii="Times New Roman" w:hAnsi="Times New Roman" w:cs="Times New Roman"/>
        </w:rPr>
      </w:pPr>
      <w:r w:rsidRPr="007263E1">
        <w:rPr>
          <w:rFonts w:ascii="Times New Roman" w:hAnsi="Times New Roman" w:cs="Times New Roman"/>
        </w:rPr>
        <w:t xml:space="preserve">A number of 555 (83.5%) patients was cured, 95 (14.5%) patients had passed away, and 15 (2.4%) were forced to discharge during the treatment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 </w:t>
      </w:r>
    </w:p>
    <w:p w14:paraId="7A21BA7C" w14:textId="77777777" w:rsidR="008538E7" w:rsidRDefault="008538E7" w:rsidP="008538E7">
      <w:pPr>
        <w:jc w:val="both"/>
        <w:rPr>
          <w:rFonts w:ascii="Times New Roman" w:hAnsi="Times New Roman" w:cs="Times New Roman"/>
        </w:rPr>
      </w:pPr>
      <w:r w:rsidRPr="007263E1">
        <w:rPr>
          <w:rFonts w:ascii="Times New Roman" w:hAnsi="Times New Roman" w:cs="Times New Roman"/>
        </w:rPr>
        <w:t>(</w:t>
      </w:r>
      <w:proofErr w:type="gramStart"/>
      <w:r w:rsidRPr="007263E1">
        <w:rPr>
          <w:rFonts w:ascii="Times New Roman" w:hAnsi="Times New Roman" w:cs="Times New Roman"/>
        </w:rPr>
        <w:t>table</w:t>
      </w:r>
      <w:proofErr w:type="gramEnd"/>
      <w:r w:rsidRPr="007263E1">
        <w:rPr>
          <w:rFonts w:ascii="Times New Roman" w:hAnsi="Times New Roman" w:cs="Times New Roman"/>
        </w:rPr>
        <w:t xml:space="preserve"> 4).</w:t>
      </w:r>
    </w:p>
    <w:p w14:paraId="7AFC20F4" w14:textId="77777777" w:rsidR="008538E7" w:rsidRDefault="008538E7" w:rsidP="008538E7">
      <w:pPr>
        <w:jc w:val="both"/>
        <w:rPr>
          <w:rFonts w:ascii="Times New Roman" w:hAnsi="Times New Roman" w:cs="Times New Roman"/>
        </w:rPr>
      </w:pPr>
      <w:r w:rsidRPr="007263E1">
        <w:rPr>
          <w:rFonts w:ascii="Times New Roman" w:hAnsi="Times New Roman" w:cs="Times New Roman"/>
        </w:rPr>
        <w:t xml:space="preserve">Distribution of possibilities of life based on caused of burn injury in hospital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for the last 5 years shows that the highest number of death were caused by flame.</w:t>
      </w:r>
    </w:p>
    <w:p w14:paraId="35891EDC" w14:textId="77777777" w:rsidR="008538E7" w:rsidRDefault="008538E7" w:rsidP="008538E7">
      <w:pPr>
        <w:jc w:val="both"/>
        <w:rPr>
          <w:rFonts w:ascii="Times New Roman" w:hAnsi="Times New Roman" w:cs="Times New Roman"/>
        </w:rPr>
      </w:pPr>
      <w:r w:rsidRPr="007263E1">
        <w:rPr>
          <w:rFonts w:ascii="Times New Roman" w:hAnsi="Times New Roman" w:cs="Times New Roman"/>
        </w:rPr>
        <w:t>(</w:t>
      </w:r>
      <w:proofErr w:type="gramStart"/>
      <w:r w:rsidRPr="007263E1">
        <w:rPr>
          <w:rFonts w:ascii="Times New Roman" w:hAnsi="Times New Roman" w:cs="Times New Roman"/>
        </w:rPr>
        <w:t>figure</w:t>
      </w:r>
      <w:proofErr w:type="gramEnd"/>
      <w:r w:rsidRPr="007263E1">
        <w:rPr>
          <w:rFonts w:ascii="Times New Roman" w:hAnsi="Times New Roman" w:cs="Times New Roman"/>
        </w:rPr>
        <w:t xml:space="preserve"> 4).</w:t>
      </w:r>
    </w:p>
    <w:p w14:paraId="6871BF40" w14:textId="77777777" w:rsidR="008538E7" w:rsidRDefault="008538E7" w:rsidP="008538E7">
      <w:pPr>
        <w:jc w:val="both"/>
        <w:rPr>
          <w:rFonts w:ascii="Times New Roman" w:hAnsi="Times New Roman" w:cs="Times New Roman"/>
        </w:rPr>
        <w:sectPr w:rsidR="008538E7" w:rsidSect="008538E7">
          <w:type w:val="continuous"/>
          <w:pgSz w:w="11907" w:h="16839" w:code="9"/>
          <w:pgMar w:top="1440" w:right="1440" w:bottom="1440" w:left="1440" w:header="720" w:footer="720" w:gutter="0"/>
          <w:cols w:num="2" w:space="720"/>
          <w:docGrid w:linePitch="360"/>
        </w:sectPr>
      </w:pPr>
      <w:r w:rsidRPr="007263E1">
        <w:rPr>
          <w:rFonts w:ascii="Times New Roman" w:hAnsi="Times New Roman" w:cs="Times New Roman"/>
        </w:rPr>
        <w:t xml:space="preserve">Figure 5 show distribution of life expectancy and length of treatment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 for the last 5 years shows that mostly, burn injury patient was heal after 3 to 10 weeks treatment and those patient mostly died after being treated less than 2 weeks.</w:t>
      </w:r>
    </w:p>
    <w:p w14:paraId="6EC2F894" w14:textId="77777777" w:rsidR="008538E7" w:rsidRPr="007263E1" w:rsidRDefault="008538E7" w:rsidP="00631AE2">
      <w:pPr>
        <w:jc w:val="both"/>
        <w:rPr>
          <w:rFonts w:ascii="Times New Roman" w:hAnsi="Times New Roman" w:cs="Times New Roman"/>
        </w:rPr>
      </w:pPr>
    </w:p>
    <w:p w14:paraId="48C7290C" w14:textId="77777777" w:rsidR="00963A53" w:rsidRPr="007263E1" w:rsidRDefault="00963A53" w:rsidP="00631AE2">
      <w:pPr>
        <w:jc w:val="both"/>
        <w:rPr>
          <w:rFonts w:ascii="Times New Roman" w:hAnsi="Times New Roman" w:cs="Times New Roman"/>
        </w:rPr>
      </w:pPr>
    </w:p>
    <w:p w14:paraId="1B7E7EC3" w14:textId="77777777" w:rsidR="009527F8" w:rsidRPr="007263E1" w:rsidRDefault="00EE0248" w:rsidP="00631AE2">
      <w:pPr>
        <w:jc w:val="both"/>
        <w:rPr>
          <w:rFonts w:ascii="Times New Roman" w:hAnsi="Times New Roman" w:cs="Times New Roman"/>
        </w:rPr>
      </w:pPr>
      <w:r w:rsidRPr="007263E1">
        <w:rPr>
          <w:rFonts w:ascii="Times New Roman" w:hAnsi="Times New Roman" w:cs="Times New Roman"/>
        </w:rPr>
        <w:t>Figure 3:</w:t>
      </w:r>
    </w:p>
    <w:p w14:paraId="5ED1CAAA" w14:textId="77777777" w:rsidR="00EE0248" w:rsidRPr="007263E1" w:rsidRDefault="00EE0248" w:rsidP="00631AE2">
      <w:pPr>
        <w:jc w:val="both"/>
        <w:rPr>
          <w:rFonts w:ascii="Times New Roman" w:hAnsi="Times New Roman" w:cs="Times New Roman"/>
        </w:rPr>
      </w:pPr>
    </w:p>
    <w:p w14:paraId="3158D511" w14:textId="77777777" w:rsidR="007F2701" w:rsidRPr="007263E1" w:rsidRDefault="007F2701" w:rsidP="008538E7">
      <w:pPr>
        <w:rPr>
          <w:rFonts w:ascii="Times New Roman" w:hAnsi="Times New Roman" w:cs="Times New Roman"/>
        </w:rPr>
      </w:pPr>
      <w:r w:rsidRPr="007263E1">
        <w:rPr>
          <w:rFonts w:ascii="Times New Roman" w:hAnsi="Times New Roman" w:cs="Times New Roman"/>
          <w:noProof/>
        </w:rPr>
        <w:drawing>
          <wp:inline distT="0" distB="0" distL="0" distR="0" wp14:anchorId="5D98F7F4" wp14:editId="506D42DA">
            <wp:extent cx="5343525" cy="2552700"/>
            <wp:effectExtent l="1905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F2C9F0" w14:textId="77777777" w:rsidR="007F2701" w:rsidRPr="007263E1" w:rsidRDefault="007F2701" w:rsidP="00631AE2">
      <w:pPr>
        <w:jc w:val="both"/>
        <w:rPr>
          <w:rFonts w:ascii="Times New Roman" w:hAnsi="Times New Roman" w:cs="Times New Roman"/>
        </w:rPr>
      </w:pPr>
    </w:p>
    <w:p w14:paraId="7839D114" w14:textId="77777777" w:rsidR="009527F8" w:rsidRPr="007263E1" w:rsidRDefault="009527F8" w:rsidP="00631AE2">
      <w:pPr>
        <w:jc w:val="both"/>
        <w:rPr>
          <w:rFonts w:ascii="Times New Roman" w:hAnsi="Times New Roman" w:cs="Times New Roman"/>
        </w:rPr>
      </w:pPr>
    </w:p>
    <w:p w14:paraId="5D16E4C0" w14:textId="77777777" w:rsidR="009527F8" w:rsidRPr="007263E1" w:rsidRDefault="009527F8" w:rsidP="00631AE2">
      <w:pPr>
        <w:jc w:val="both"/>
        <w:rPr>
          <w:rFonts w:ascii="Times New Roman" w:hAnsi="Times New Roman" w:cs="Times New Roman"/>
        </w:rPr>
      </w:pPr>
    </w:p>
    <w:p w14:paraId="52527696" w14:textId="77777777" w:rsidR="00EE0248" w:rsidRPr="007263E1" w:rsidRDefault="00EE0248" w:rsidP="00631AE2">
      <w:pPr>
        <w:jc w:val="both"/>
        <w:rPr>
          <w:rFonts w:ascii="Times New Roman" w:hAnsi="Times New Roman" w:cs="Times New Roman"/>
        </w:rPr>
      </w:pPr>
      <w:r w:rsidRPr="007263E1">
        <w:rPr>
          <w:rFonts w:ascii="Times New Roman" w:hAnsi="Times New Roman" w:cs="Times New Roman"/>
        </w:rPr>
        <w:t xml:space="preserve">Table 4. Results of given treatment for burn patients distribution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w:t>
      </w:r>
    </w:p>
    <w:p w14:paraId="409C345B" w14:textId="77777777" w:rsidR="00EE0248" w:rsidRPr="007263E1" w:rsidRDefault="00EE0248" w:rsidP="00EE0248">
      <w:pPr>
        <w:ind w:firstLine="720"/>
        <w:jc w:val="both"/>
        <w:rPr>
          <w:rFonts w:ascii="Times New Roman" w:hAnsi="Times New Roman" w:cs="Times New Roman"/>
        </w:rPr>
      </w:pPr>
      <w:r w:rsidRPr="007263E1">
        <w:rPr>
          <w:rFonts w:ascii="Times New Roman" w:hAnsi="Times New Roman" w:cs="Times New Roman"/>
        </w:rPr>
        <w:t xml:space="preserve">  Hospital</w:t>
      </w:r>
    </w:p>
    <w:p w14:paraId="4391550F" w14:textId="77777777" w:rsidR="009527F8" w:rsidRPr="007263E1" w:rsidRDefault="009527F8" w:rsidP="009527F8">
      <w:pPr>
        <w:spacing w:line="360" w:lineRule="auto"/>
        <w:jc w:val="both"/>
        <w:rPr>
          <w:rFonts w:ascii="Times New Roman" w:hAnsi="Times New Roman" w:cs="Times New Roman"/>
        </w:rPr>
      </w:pPr>
    </w:p>
    <w:tbl>
      <w:tblPr>
        <w:tblStyle w:val="TableGrid"/>
        <w:tblW w:w="0" w:type="auto"/>
        <w:tblInd w:w="720" w:type="dxa"/>
        <w:tblLayout w:type="fixed"/>
        <w:tblLook w:val="04A0" w:firstRow="1" w:lastRow="0" w:firstColumn="1" w:lastColumn="0" w:noHBand="0" w:noVBand="1"/>
      </w:tblPr>
      <w:tblGrid>
        <w:gridCol w:w="918"/>
        <w:gridCol w:w="900"/>
        <w:gridCol w:w="720"/>
        <w:gridCol w:w="990"/>
        <w:gridCol w:w="720"/>
        <w:gridCol w:w="1710"/>
        <w:gridCol w:w="714"/>
        <w:gridCol w:w="931"/>
        <w:gridCol w:w="695"/>
      </w:tblGrid>
      <w:tr w:rsidR="009527F8" w:rsidRPr="007263E1" w14:paraId="41580675" w14:textId="77777777" w:rsidTr="00821F9B">
        <w:tc>
          <w:tcPr>
            <w:tcW w:w="918" w:type="dxa"/>
            <w:vMerge w:val="restart"/>
            <w:vAlign w:val="center"/>
          </w:tcPr>
          <w:p w14:paraId="3978FDA9" w14:textId="77777777" w:rsidR="009527F8" w:rsidRPr="007263E1" w:rsidRDefault="009527F8" w:rsidP="009527F8">
            <w:pPr>
              <w:pStyle w:val="ListParagraph"/>
              <w:ind w:left="0"/>
              <w:rPr>
                <w:rFonts w:cs="Times New Roman"/>
              </w:rPr>
            </w:pPr>
            <w:r w:rsidRPr="007263E1">
              <w:rPr>
                <w:rFonts w:cs="Times New Roman"/>
              </w:rPr>
              <w:t>YEAR</w:t>
            </w:r>
          </w:p>
        </w:tc>
        <w:tc>
          <w:tcPr>
            <w:tcW w:w="5754" w:type="dxa"/>
            <w:gridSpan w:val="6"/>
          </w:tcPr>
          <w:p w14:paraId="71A814BB" w14:textId="77777777" w:rsidR="009527F8" w:rsidRPr="007263E1" w:rsidRDefault="009527F8" w:rsidP="00821F9B">
            <w:pPr>
              <w:pStyle w:val="ListParagraph"/>
              <w:ind w:left="0"/>
              <w:rPr>
                <w:rFonts w:cs="Times New Roman"/>
              </w:rPr>
            </w:pPr>
            <w:r w:rsidRPr="007263E1">
              <w:rPr>
                <w:rFonts w:cs="Times New Roman"/>
              </w:rPr>
              <w:t>RESULTS OF GIVEN TREATMENT</w:t>
            </w:r>
          </w:p>
        </w:tc>
        <w:tc>
          <w:tcPr>
            <w:tcW w:w="931" w:type="dxa"/>
            <w:vMerge w:val="restart"/>
            <w:vAlign w:val="center"/>
          </w:tcPr>
          <w:p w14:paraId="5830500E" w14:textId="77777777" w:rsidR="009527F8" w:rsidRPr="007263E1" w:rsidRDefault="009527F8" w:rsidP="00821F9B">
            <w:pPr>
              <w:pStyle w:val="ListParagraph"/>
              <w:ind w:left="0"/>
              <w:rPr>
                <w:rFonts w:cs="Times New Roman"/>
              </w:rPr>
            </w:pPr>
            <w:r w:rsidRPr="007263E1">
              <w:rPr>
                <w:rFonts w:cs="Times New Roman"/>
              </w:rPr>
              <w:t>Total</w:t>
            </w:r>
          </w:p>
        </w:tc>
        <w:tc>
          <w:tcPr>
            <w:tcW w:w="695" w:type="dxa"/>
            <w:vMerge w:val="restart"/>
            <w:vAlign w:val="center"/>
          </w:tcPr>
          <w:p w14:paraId="507C0852" w14:textId="77777777" w:rsidR="009527F8" w:rsidRPr="007263E1" w:rsidRDefault="009527F8" w:rsidP="00821F9B">
            <w:pPr>
              <w:pStyle w:val="ListParagraph"/>
              <w:ind w:left="0"/>
              <w:rPr>
                <w:rFonts w:cs="Times New Roman"/>
              </w:rPr>
            </w:pPr>
            <w:r w:rsidRPr="007263E1">
              <w:rPr>
                <w:rFonts w:cs="Times New Roman"/>
              </w:rPr>
              <w:t>%</w:t>
            </w:r>
          </w:p>
        </w:tc>
      </w:tr>
      <w:tr w:rsidR="009527F8" w:rsidRPr="007263E1" w14:paraId="312BBCD1" w14:textId="77777777" w:rsidTr="00821F9B">
        <w:tc>
          <w:tcPr>
            <w:tcW w:w="918" w:type="dxa"/>
            <w:vMerge/>
          </w:tcPr>
          <w:p w14:paraId="68FC9A15" w14:textId="77777777" w:rsidR="009527F8" w:rsidRPr="007263E1" w:rsidRDefault="009527F8" w:rsidP="00821F9B">
            <w:pPr>
              <w:pStyle w:val="ListParagraph"/>
              <w:ind w:left="0"/>
              <w:rPr>
                <w:rFonts w:cs="Times New Roman"/>
              </w:rPr>
            </w:pPr>
          </w:p>
        </w:tc>
        <w:tc>
          <w:tcPr>
            <w:tcW w:w="900" w:type="dxa"/>
          </w:tcPr>
          <w:p w14:paraId="3DB000D4" w14:textId="77777777" w:rsidR="009527F8" w:rsidRPr="007263E1" w:rsidRDefault="009527F8" w:rsidP="00821F9B">
            <w:pPr>
              <w:pStyle w:val="ListParagraph"/>
              <w:ind w:left="0"/>
              <w:rPr>
                <w:rFonts w:cs="Times New Roman"/>
              </w:rPr>
            </w:pPr>
            <w:r w:rsidRPr="007263E1">
              <w:rPr>
                <w:rFonts w:cs="Times New Roman"/>
              </w:rPr>
              <w:t>alive</w:t>
            </w:r>
          </w:p>
        </w:tc>
        <w:tc>
          <w:tcPr>
            <w:tcW w:w="720" w:type="dxa"/>
          </w:tcPr>
          <w:p w14:paraId="241C9FC1" w14:textId="77777777" w:rsidR="009527F8" w:rsidRPr="007263E1" w:rsidRDefault="009527F8" w:rsidP="00821F9B">
            <w:pPr>
              <w:pStyle w:val="ListParagraph"/>
              <w:ind w:left="0"/>
              <w:rPr>
                <w:rFonts w:cs="Times New Roman"/>
              </w:rPr>
            </w:pPr>
            <w:r w:rsidRPr="007263E1">
              <w:rPr>
                <w:rFonts w:cs="Times New Roman"/>
              </w:rPr>
              <w:t>%</w:t>
            </w:r>
          </w:p>
        </w:tc>
        <w:tc>
          <w:tcPr>
            <w:tcW w:w="990" w:type="dxa"/>
          </w:tcPr>
          <w:p w14:paraId="792987AD" w14:textId="77777777" w:rsidR="009527F8" w:rsidRPr="007263E1" w:rsidRDefault="009527F8" w:rsidP="00821F9B">
            <w:pPr>
              <w:pStyle w:val="ListParagraph"/>
              <w:ind w:left="0"/>
              <w:rPr>
                <w:rFonts w:cs="Times New Roman"/>
              </w:rPr>
            </w:pPr>
            <w:r w:rsidRPr="007263E1">
              <w:rPr>
                <w:rFonts w:cs="Times New Roman"/>
              </w:rPr>
              <w:t>dead</w:t>
            </w:r>
          </w:p>
        </w:tc>
        <w:tc>
          <w:tcPr>
            <w:tcW w:w="720" w:type="dxa"/>
          </w:tcPr>
          <w:p w14:paraId="4946EC83" w14:textId="77777777" w:rsidR="009527F8" w:rsidRPr="007263E1" w:rsidRDefault="009527F8" w:rsidP="00821F9B">
            <w:pPr>
              <w:pStyle w:val="ListParagraph"/>
              <w:ind w:left="0"/>
              <w:rPr>
                <w:rFonts w:cs="Times New Roman"/>
              </w:rPr>
            </w:pPr>
            <w:r w:rsidRPr="007263E1">
              <w:rPr>
                <w:rFonts w:cs="Times New Roman"/>
              </w:rPr>
              <w:t>%</w:t>
            </w:r>
          </w:p>
        </w:tc>
        <w:tc>
          <w:tcPr>
            <w:tcW w:w="1710" w:type="dxa"/>
          </w:tcPr>
          <w:p w14:paraId="40EC3063" w14:textId="77777777" w:rsidR="009527F8" w:rsidRPr="007263E1" w:rsidRDefault="009527F8" w:rsidP="00821F9B">
            <w:pPr>
              <w:pStyle w:val="ListParagraph"/>
              <w:ind w:left="0"/>
              <w:rPr>
                <w:rFonts w:cs="Times New Roman"/>
              </w:rPr>
            </w:pPr>
            <w:r w:rsidRPr="007263E1">
              <w:rPr>
                <w:rFonts w:cs="Times New Roman"/>
              </w:rPr>
              <w:t>forced discharge</w:t>
            </w:r>
          </w:p>
        </w:tc>
        <w:tc>
          <w:tcPr>
            <w:tcW w:w="714" w:type="dxa"/>
          </w:tcPr>
          <w:p w14:paraId="400914CA" w14:textId="77777777" w:rsidR="009527F8" w:rsidRPr="007263E1" w:rsidRDefault="009527F8" w:rsidP="00821F9B">
            <w:pPr>
              <w:pStyle w:val="ListParagraph"/>
              <w:ind w:left="0"/>
              <w:rPr>
                <w:rFonts w:cs="Times New Roman"/>
              </w:rPr>
            </w:pPr>
            <w:r w:rsidRPr="007263E1">
              <w:rPr>
                <w:rFonts w:cs="Times New Roman"/>
              </w:rPr>
              <w:t>%</w:t>
            </w:r>
          </w:p>
        </w:tc>
        <w:tc>
          <w:tcPr>
            <w:tcW w:w="931" w:type="dxa"/>
            <w:vMerge/>
          </w:tcPr>
          <w:p w14:paraId="376F6685" w14:textId="77777777" w:rsidR="009527F8" w:rsidRPr="007263E1" w:rsidRDefault="009527F8" w:rsidP="00821F9B">
            <w:pPr>
              <w:pStyle w:val="ListParagraph"/>
              <w:ind w:left="0"/>
              <w:rPr>
                <w:rFonts w:cs="Times New Roman"/>
              </w:rPr>
            </w:pPr>
          </w:p>
        </w:tc>
        <w:tc>
          <w:tcPr>
            <w:tcW w:w="695" w:type="dxa"/>
            <w:vMerge/>
          </w:tcPr>
          <w:p w14:paraId="47BCCDB0" w14:textId="77777777" w:rsidR="009527F8" w:rsidRPr="007263E1" w:rsidRDefault="009527F8" w:rsidP="00821F9B">
            <w:pPr>
              <w:pStyle w:val="ListParagraph"/>
              <w:ind w:left="0"/>
              <w:rPr>
                <w:rFonts w:cs="Times New Roman"/>
              </w:rPr>
            </w:pPr>
          </w:p>
        </w:tc>
      </w:tr>
      <w:tr w:rsidR="009527F8" w:rsidRPr="007263E1" w14:paraId="396086F3" w14:textId="77777777" w:rsidTr="00821F9B">
        <w:tc>
          <w:tcPr>
            <w:tcW w:w="918" w:type="dxa"/>
          </w:tcPr>
          <w:p w14:paraId="75F77CA2" w14:textId="77777777" w:rsidR="009527F8" w:rsidRPr="007263E1" w:rsidRDefault="009527F8" w:rsidP="00821F9B">
            <w:pPr>
              <w:pStyle w:val="ListParagraph"/>
              <w:ind w:left="0"/>
              <w:rPr>
                <w:rFonts w:cs="Times New Roman"/>
              </w:rPr>
            </w:pPr>
            <w:r w:rsidRPr="007263E1">
              <w:rPr>
                <w:rFonts w:cs="Times New Roman"/>
              </w:rPr>
              <w:t>2007</w:t>
            </w:r>
          </w:p>
        </w:tc>
        <w:tc>
          <w:tcPr>
            <w:tcW w:w="900" w:type="dxa"/>
            <w:vAlign w:val="center"/>
          </w:tcPr>
          <w:p w14:paraId="32754378" w14:textId="77777777" w:rsidR="009527F8" w:rsidRPr="007263E1" w:rsidRDefault="009527F8" w:rsidP="00821F9B">
            <w:r w:rsidRPr="007263E1">
              <w:t>102</w:t>
            </w:r>
          </w:p>
        </w:tc>
        <w:tc>
          <w:tcPr>
            <w:tcW w:w="720" w:type="dxa"/>
            <w:vAlign w:val="center"/>
          </w:tcPr>
          <w:p w14:paraId="57AA2CBB" w14:textId="77777777" w:rsidR="009527F8" w:rsidRPr="007263E1" w:rsidRDefault="009527F8" w:rsidP="00821F9B">
            <w:r w:rsidRPr="007263E1">
              <w:t>83.7</w:t>
            </w:r>
          </w:p>
        </w:tc>
        <w:tc>
          <w:tcPr>
            <w:tcW w:w="990" w:type="dxa"/>
            <w:vAlign w:val="center"/>
          </w:tcPr>
          <w:p w14:paraId="3682EF7B" w14:textId="77777777" w:rsidR="009527F8" w:rsidRPr="007263E1" w:rsidRDefault="009527F8" w:rsidP="00821F9B">
            <w:r w:rsidRPr="007263E1">
              <w:t>14</w:t>
            </w:r>
          </w:p>
        </w:tc>
        <w:tc>
          <w:tcPr>
            <w:tcW w:w="720" w:type="dxa"/>
            <w:vAlign w:val="center"/>
          </w:tcPr>
          <w:p w14:paraId="582A0A96" w14:textId="77777777" w:rsidR="009527F8" w:rsidRPr="007263E1" w:rsidRDefault="009527F8" w:rsidP="00821F9B">
            <w:r w:rsidRPr="007263E1">
              <w:t>11.4</w:t>
            </w:r>
          </w:p>
        </w:tc>
        <w:tc>
          <w:tcPr>
            <w:tcW w:w="1710" w:type="dxa"/>
            <w:vAlign w:val="center"/>
          </w:tcPr>
          <w:p w14:paraId="5FE51294" w14:textId="77777777" w:rsidR="009527F8" w:rsidRPr="007263E1" w:rsidRDefault="009527F8" w:rsidP="00821F9B">
            <w:r w:rsidRPr="007263E1">
              <w:t>7</w:t>
            </w:r>
          </w:p>
        </w:tc>
        <w:tc>
          <w:tcPr>
            <w:tcW w:w="714" w:type="dxa"/>
          </w:tcPr>
          <w:p w14:paraId="72069BCB" w14:textId="77777777" w:rsidR="009527F8" w:rsidRPr="007263E1" w:rsidRDefault="009527F8" w:rsidP="00821F9B">
            <w:pPr>
              <w:pStyle w:val="ListParagraph"/>
              <w:ind w:left="0"/>
              <w:rPr>
                <w:rFonts w:cs="Times New Roman"/>
              </w:rPr>
            </w:pPr>
            <w:r w:rsidRPr="007263E1">
              <w:rPr>
                <w:rFonts w:cs="Times New Roman"/>
              </w:rPr>
              <w:t>4.9</w:t>
            </w:r>
          </w:p>
        </w:tc>
        <w:tc>
          <w:tcPr>
            <w:tcW w:w="931" w:type="dxa"/>
            <w:vAlign w:val="center"/>
          </w:tcPr>
          <w:p w14:paraId="0293A765" w14:textId="77777777" w:rsidR="009527F8" w:rsidRPr="007263E1" w:rsidRDefault="009527F8" w:rsidP="00821F9B">
            <w:r w:rsidRPr="007263E1">
              <w:t>123</w:t>
            </w:r>
          </w:p>
        </w:tc>
        <w:tc>
          <w:tcPr>
            <w:tcW w:w="695" w:type="dxa"/>
          </w:tcPr>
          <w:p w14:paraId="75898FDA" w14:textId="77777777" w:rsidR="009527F8" w:rsidRPr="007263E1" w:rsidRDefault="009527F8" w:rsidP="00821F9B">
            <w:pPr>
              <w:pStyle w:val="ListParagraph"/>
              <w:ind w:left="0"/>
              <w:rPr>
                <w:rFonts w:cs="Times New Roman"/>
              </w:rPr>
            </w:pPr>
            <w:r w:rsidRPr="007263E1">
              <w:rPr>
                <w:rFonts w:cs="Times New Roman"/>
              </w:rPr>
              <w:t>100</w:t>
            </w:r>
          </w:p>
        </w:tc>
      </w:tr>
      <w:tr w:rsidR="009527F8" w:rsidRPr="007263E1" w14:paraId="4E84D449" w14:textId="77777777" w:rsidTr="00821F9B">
        <w:tc>
          <w:tcPr>
            <w:tcW w:w="918" w:type="dxa"/>
          </w:tcPr>
          <w:p w14:paraId="4725E049" w14:textId="77777777" w:rsidR="009527F8" w:rsidRPr="007263E1" w:rsidRDefault="009527F8" w:rsidP="00821F9B">
            <w:pPr>
              <w:pStyle w:val="ListParagraph"/>
              <w:ind w:left="0"/>
              <w:rPr>
                <w:rFonts w:cs="Times New Roman"/>
              </w:rPr>
            </w:pPr>
            <w:r w:rsidRPr="007263E1">
              <w:rPr>
                <w:rFonts w:cs="Times New Roman"/>
              </w:rPr>
              <w:t>2008</w:t>
            </w:r>
          </w:p>
        </w:tc>
        <w:tc>
          <w:tcPr>
            <w:tcW w:w="900" w:type="dxa"/>
            <w:vAlign w:val="center"/>
          </w:tcPr>
          <w:p w14:paraId="131A195A" w14:textId="77777777" w:rsidR="009527F8" w:rsidRPr="007263E1" w:rsidRDefault="009527F8" w:rsidP="00821F9B">
            <w:r w:rsidRPr="007263E1">
              <w:t>116</w:t>
            </w:r>
          </w:p>
        </w:tc>
        <w:tc>
          <w:tcPr>
            <w:tcW w:w="720" w:type="dxa"/>
            <w:vAlign w:val="center"/>
          </w:tcPr>
          <w:p w14:paraId="6B4B5A73" w14:textId="77777777" w:rsidR="009527F8" w:rsidRPr="007263E1" w:rsidRDefault="009527F8" w:rsidP="00821F9B">
            <w:r w:rsidRPr="007263E1">
              <w:t>83.5</w:t>
            </w:r>
          </w:p>
        </w:tc>
        <w:tc>
          <w:tcPr>
            <w:tcW w:w="990" w:type="dxa"/>
            <w:vAlign w:val="center"/>
          </w:tcPr>
          <w:p w14:paraId="44D9D5ED" w14:textId="77777777" w:rsidR="009527F8" w:rsidRPr="007263E1" w:rsidRDefault="009527F8" w:rsidP="00821F9B">
            <w:r w:rsidRPr="007263E1">
              <w:t>21</w:t>
            </w:r>
          </w:p>
        </w:tc>
        <w:tc>
          <w:tcPr>
            <w:tcW w:w="720" w:type="dxa"/>
            <w:vAlign w:val="center"/>
          </w:tcPr>
          <w:p w14:paraId="73F0D184" w14:textId="77777777" w:rsidR="009527F8" w:rsidRPr="007263E1" w:rsidRDefault="009527F8" w:rsidP="00821F9B">
            <w:r w:rsidRPr="007263E1">
              <w:t>15</w:t>
            </w:r>
          </w:p>
        </w:tc>
        <w:tc>
          <w:tcPr>
            <w:tcW w:w="1710" w:type="dxa"/>
            <w:vAlign w:val="center"/>
          </w:tcPr>
          <w:p w14:paraId="78A2AEC9" w14:textId="77777777" w:rsidR="009527F8" w:rsidRPr="007263E1" w:rsidRDefault="009527F8" w:rsidP="00821F9B">
            <w:r w:rsidRPr="007263E1">
              <w:t>2</w:t>
            </w:r>
          </w:p>
        </w:tc>
        <w:tc>
          <w:tcPr>
            <w:tcW w:w="714" w:type="dxa"/>
          </w:tcPr>
          <w:p w14:paraId="14183C59" w14:textId="77777777" w:rsidR="009527F8" w:rsidRPr="007263E1" w:rsidRDefault="009527F8" w:rsidP="00821F9B">
            <w:pPr>
              <w:pStyle w:val="ListParagraph"/>
              <w:ind w:left="0"/>
              <w:rPr>
                <w:rFonts w:cs="Times New Roman"/>
              </w:rPr>
            </w:pPr>
            <w:r w:rsidRPr="007263E1">
              <w:rPr>
                <w:rFonts w:cs="Times New Roman"/>
              </w:rPr>
              <w:t>1.5</w:t>
            </w:r>
          </w:p>
        </w:tc>
        <w:tc>
          <w:tcPr>
            <w:tcW w:w="931" w:type="dxa"/>
            <w:vAlign w:val="center"/>
          </w:tcPr>
          <w:p w14:paraId="00CFE865" w14:textId="77777777" w:rsidR="009527F8" w:rsidRPr="007263E1" w:rsidRDefault="009527F8" w:rsidP="00821F9B">
            <w:r w:rsidRPr="007263E1">
              <w:t>139</w:t>
            </w:r>
          </w:p>
        </w:tc>
        <w:tc>
          <w:tcPr>
            <w:tcW w:w="695" w:type="dxa"/>
          </w:tcPr>
          <w:p w14:paraId="431317CC" w14:textId="77777777" w:rsidR="009527F8" w:rsidRPr="007263E1" w:rsidRDefault="009527F8" w:rsidP="00821F9B">
            <w:pPr>
              <w:pStyle w:val="ListParagraph"/>
              <w:ind w:left="0"/>
              <w:rPr>
                <w:rFonts w:cs="Times New Roman"/>
              </w:rPr>
            </w:pPr>
            <w:r w:rsidRPr="007263E1">
              <w:rPr>
                <w:rFonts w:cs="Times New Roman"/>
              </w:rPr>
              <w:t>100</w:t>
            </w:r>
          </w:p>
        </w:tc>
      </w:tr>
      <w:tr w:rsidR="009527F8" w:rsidRPr="007263E1" w14:paraId="1F4AA556" w14:textId="77777777" w:rsidTr="00821F9B">
        <w:tc>
          <w:tcPr>
            <w:tcW w:w="918" w:type="dxa"/>
          </w:tcPr>
          <w:p w14:paraId="58D0DE64" w14:textId="77777777" w:rsidR="009527F8" w:rsidRPr="007263E1" w:rsidRDefault="009527F8" w:rsidP="00821F9B">
            <w:pPr>
              <w:pStyle w:val="ListParagraph"/>
              <w:ind w:left="0"/>
              <w:rPr>
                <w:rFonts w:cs="Times New Roman"/>
              </w:rPr>
            </w:pPr>
            <w:r w:rsidRPr="007263E1">
              <w:rPr>
                <w:rFonts w:cs="Times New Roman"/>
              </w:rPr>
              <w:t>2009</w:t>
            </w:r>
          </w:p>
        </w:tc>
        <w:tc>
          <w:tcPr>
            <w:tcW w:w="900" w:type="dxa"/>
            <w:vAlign w:val="center"/>
          </w:tcPr>
          <w:p w14:paraId="5FF0956B" w14:textId="77777777" w:rsidR="009527F8" w:rsidRPr="007263E1" w:rsidRDefault="009527F8" w:rsidP="00821F9B">
            <w:r w:rsidRPr="007263E1">
              <w:t>100</w:t>
            </w:r>
          </w:p>
        </w:tc>
        <w:tc>
          <w:tcPr>
            <w:tcW w:w="720" w:type="dxa"/>
            <w:vAlign w:val="center"/>
          </w:tcPr>
          <w:p w14:paraId="2BA103B6" w14:textId="77777777" w:rsidR="009527F8" w:rsidRPr="007263E1" w:rsidRDefault="009527F8" w:rsidP="00821F9B">
            <w:r w:rsidRPr="007263E1">
              <w:t>80.6</w:t>
            </w:r>
          </w:p>
        </w:tc>
        <w:tc>
          <w:tcPr>
            <w:tcW w:w="990" w:type="dxa"/>
            <w:vAlign w:val="center"/>
          </w:tcPr>
          <w:p w14:paraId="5B182ECA" w14:textId="77777777" w:rsidR="009527F8" w:rsidRPr="007263E1" w:rsidRDefault="009527F8" w:rsidP="00821F9B">
            <w:r w:rsidRPr="007263E1">
              <w:t>22</w:t>
            </w:r>
          </w:p>
        </w:tc>
        <w:tc>
          <w:tcPr>
            <w:tcW w:w="720" w:type="dxa"/>
            <w:vAlign w:val="center"/>
          </w:tcPr>
          <w:p w14:paraId="49C7D4C6" w14:textId="77777777" w:rsidR="009527F8" w:rsidRPr="007263E1" w:rsidRDefault="009527F8" w:rsidP="00821F9B">
            <w:r w:rsidRPr="007263E1">
              <w:t>17.7</w:t>
            </w:r>
          </w:p>
        </w:tc>
        <w:tc>
          <w:tcPr>
            <w:tcW w:w="1710" w:type="dxa"/>
            <w:vAlign w:val="center"/>
          </w:tcPr>
          <w:p w14:paraId="123A7E28" w14:textId="77777777" w:rsidR="009527F8" w:rsidRPr="007263E1" w:rsidRDefault="009527F8" w:rsidP="00821F9B">
            <w:r w:rsidRPr="007263E1">
              <w:t>2</w:t>
            </w:r>
          </w:p>
        </w:tc>
        <w:tc>
          <w:tcPr>
            <w:tcW w:w="714" w:type="dxa"/>
          </w:tcPr>
          <w:p w14:paraId="69069048" w14:textId="77777777" w:rsidR="009527F8" w:rsidRPr="007263E1" w:rsidRDefault="009527F8" w:rsidP="00821F9B">
            <w:pPr>
              <w:pStyle w:val="ListParagraph"/>
              <w:ind w:left="0"/>
              <w:rPr>
                <w:rFonts w:cs="Times New Roman"/>
              </w:rPr>
            </w:pPr>
            <w:r w:rsidRPr="007263E1">
              <w:rPr>
                <w:rFonts w:cs="Times New Roman"/>
              </w:rPr>
              <w:t>1.7</w:t>
            </w:r>
          </w:p>
        </w:tc>
        <w:tc>
          <w:tcPr>
            <w:tcW w:w="931" w:type="dxa"/>
            <w:vAlign w:val="center"/>
          </w:tcPr>
          <w:p w14:paraId="3BDA0C7F" w14:textId="77777777" w:rsidR="009527F8" w:rsidRPr="007263E1" w:rsidRDefault="009527F8" w:rsidP="00821F9B">
            <w:r w:rsidRPr="007263E1">
              <w:t>124</w:t>
            </w:r>
          </w:p>
        </w:tc>
        <w:tc>
          <w:tcPr>
            <w:tcW w:w="695" w:type="dxa"/>
          </w:tcPr>
          <w:p w14:paraId="371E4505" w14:textId="77777777" w:rsidR="009527F8" w:rsidRPr="007263E1" w:rsidRDefault="009527F8" w:rsidP="00821F9B">
            <w:pPr>
              <w:pStyle w:val="ListParagraph"/>
              <w:ind w:left="0"/>
              <w:rPr>
                <w:rFonts w:cs="Times New Roman"/>
              </w:rPr>
            </w:pPr>
            <w:r w:rsidRPr="007263E1">
              <w:rPr>
                <w:rFonts w:cs="Times New Roman"/>
              </w:rPr>
              <w:t>100</w:t>
            </w:r>
          </w:p>
        </w:tc>
      </w:tr>
      <w:tr w:rsidR="009527F8" w:rsidRPr="007263E1" w14:paraId="1EC3124F" w14:textId="77777777" w:rsidTr="00821F9B">
        <w:tc>
          <w:tcPr>
            <w:tcW w:w="918" w:type="dxa"/>
          </w:tcPr>
          <w:p w14:paraId="0DB5A9E3" w14:textId="77777777" w:rsidR="009527F8" w:rsidRPr="007263E1" w:rsidRDefault="009527F8" w:rsidP="00821F9B">
            <w:pPr>
              <w:pStyle w:val="ListParagraph"/>
              <w:ind w:left="0"/>
              <w:rPr>
                <w:rFonts w:cs="Times New Roman"/>
              </w:rPr>
            </w:pPr>
            <w:r w:rsidRPr="007263E1">
              <w:rPr>
                <w:rFonts w:cs="Times New Roman"/>
              </w:rPr>
              <w:t>2010</w:t>
            </w:r>
          </w:p>
        </w:tc>
        <w:tc>
          <w:tcPr>
            <w:tcW w:w="900" w:type="dxa"/>
            <w:vAlign w:val="center"/>
          </w:tcPr>
          <w:p w14:paraId="0D43348C" w14:textId="77777777" w:rsidR="009527F8" w:rsidRPr="007263E1" w:rsidRDefault="009527F8" w:rsidP="00821F9B">
            <w:r w:rsidRPr="007263E1">
              <w:t>110</w:t>
            </w:r>
          </w:p>
        </w:tc>
        <w:tc>
          <w:tcPr>
            <w:tcW w:w="720" w:type="dxa"/>
            <w:vAlign w:val="center"/>
          </w:tcPr>
          <w:p w14:paraId="6643927C" w14:textId="77777777" w:rsidR="009527F8" w:rsidRPr="007263E1" w:rsidRDefault="009527F8" w:rsidP="00821F9B">
            <w:r w:rsidRPr="007263E1">
              <w:t>82.1</w:t>
            </w:r>
          </w:p>
        </w:tc>
        <w:tc>
          <w:tcPr>
            <w:tcW w:w="990" w:type="dxa"/>
            <w:vAlign w:val="center"/>
          </w:tcPr>
          <w:p w14:paraId="49577EA8" w14:textId="77777777" w:rsidR="009527F8" w:rsidRPr="007263E1" w:rsidRDefault="009527F8" w:rsidP="00821F9B">
            <w:r w:rsidRPr="007263E1">
              <w:t>23</w:t>
            </w:r>
          </w:p>
        </w:tc>
        <w:tc>
          <w:tcPr>
            <w:tcW w:w="720" w:type="dxa"/>
            <w:vAlign w:val="center"/>
          </w:tcPr>
          <w:p w14:paraId="3CA2C42E" w14:textId="77777777" w:rsidR="009527F8" w:rsidRPr="007263E1" w:rsidRDefault="009527F8" w:rsidP="00821F9B">
            <w:r w:rsidRPr="007263E1">
              <w:t>17.2</w:t>
            </w:r>
          </w:p>
        </w:tc>
        <w:tc>
          <w:tcPr>
            <w:tcW w:w="1710" w:type="dxa"/>
            <w:vAlign w:val="center"/>
          </w:tcPr>
          <w:p w14:paraId="4B4CE7AF" w14:textId="77777777" w:rsidR="009527F8" w:rsidRPr="007263E1" w:rsidRDefault="009527F8" w:rsidP="00821F9B">
            <w:r w:rsidRPr="007263E1">
              <w:t>1</w:t>
            </w:r>
          </w:p>
        </w:tc>
        <w:tc>
          <w:tcPr>
            <w:tcW w:w="714" w:type="dxa"/>
          </w:tcPr>
          <w:p w14:paraId="60610FA5" w14:textId="77777777" w:rsidR="009527F8" w:rsidRPr="007263E1" w:rsidRDefault="009527F8" w:rsidP="00821F9B">
            <w:pPr>
              <w:pStyle w:val="ListParagraph"/>
              <w:ind w:left="0"/>
              <w:rPr>
                <w:rFonts w:cs="Times New Roman"/>
              </w:rPr>
            </w:pPr>
            <w:r w:rsidRPr="007263E1">
              <w:rPr>
                <w:rFonts w:cs="Times New Roman"/>
              </w:rPr>
              <w:t>0.7</w:t>
            </w:r>
          </w:p>
        </w:tc>
        <w:tc>
          <w:tcPr>
            <w:tcW w:w="931" w:type="dxa"/>
            <w:vAlign w:val="center"/>
          </w:tcPr>
          <w:p w14:paraId="06A21C70" w14:textId="77777777" w:rsidR="009527F8" w:rsidRPr="007263E1" w:rsidRDefault="009527F8" w:rsidP="00821F9B">
            <w:r w:rsidRPr="007263E1">
              <w:t>134</w:t>
            </w:r>
          </w:p>
        </w:tc>
        <w:tc>
          <w:tcPr>
            <w:tcW w:w="695" w:type="dxa"/>
          </w:tcPr>
          <w:p w14:paraId="1429B2F5" w14:textId="77777777" w:rsidR="009527F8" w:rsidRPr="007263E1" w:rsidRDefault="009527F8" w:rsidP="00821F9B">
            <w:pPr>
              <w:pStyle w:val="ListParagraph"/>
              <w:ind w:left="0"/>
              <w:rPr>
                <w:rFonts w:cs="Times New Roman"/>
              </w:rPr>
            </w:pPr>
            <w:r w:rsidRPr="007263E1">
              <w:rPr>
                <w:rFonts w:cs="Times New Roman"/>
              </w:rPr>
              <w:t>100</w:t>
            </w:r>
          </w:p>
        </w:tc>
      </w:tr>
      <w:tr w:rsidR="009527F8" w:rsidRPr="007263E1" w14:paraId="4C4E741C" w14:textId="77777777" w:rsidTr="00821F9B">
        <w:tc>
          <w:tcPr>
            <w:tcW w:w="918" w:type="dxa"/>
          </w:tcPr>
          <w:p w14:paraId="3CA2281B" w14:textId="77777777" w:rsidR="009527F8" w:rsidRPr="007263E1" w:rsidRDefault="009527F8" w:rsidP="00821F9B">
            <w:pPr>
              <w:pStyle w:val="ListParagraph"/>
              <w:ind w:left="0"/>
              <w:rPr>
                <w:rFonts w:cs="Times New Roman"/>
              </w:rPr>
            </w:pPr>
            <w:r w:rsidRPr="007263E1">
              <w:rPr>
                <w:rFonts w:cs="Times New Roman"/>
              </w:rPr>
              <w:t>2011</w:t>
            </w:r>
          </w:p>
        </w:tc>
        <w:tc>
          <w:tcPr>
            <w:tcW w:w="900" w:type="dxa"/>
            <w:vAlign w:val="center"/>
          </w:tcPr>
          <w:p w14:paraId="33E9719F" w14:textId="77777777" w:rsidR="009527F8" w:rsidRPr="007263E1" w:rsidRDefault="009527F8" w:rsidP="00821F9B">
            <w:r w:rsidRPr="007263E1">
              <w:t>127</w:t>
            </w:r>
          </w:p>
        </w:tc>
        <w:tc>
          <w:tcPr>
            <w:tcW w:w="720" w:type="dxa"/>
            <w:vAlign w:val="center"/>
          </w:tcPr>
          <w:p w14:paraId="1DB8A420" w14:textId="77777777" w:rsidR="009527F8" w:rsidRPr="007263E1" w:rsidRDefault="009527F8" w:rsidP="00821F9B">
            <w:r w:rsidRPr="007263E1">
              <w:t>87.6</w:t>
            </w:r>
          </w:p>
        </w:tc>
        <w:tc>
          <w:tcPr>
            <w:tcW w:w="990" w:type="dxa"/>
            <w:vAlign w:val="center"/>
          </w:tcPr>
          <w:p w14:paraId="4F7D1E6A" w14:textId="77777777" w:rsidR="009527F8" w:rsidRPr="007263E1" w:rsidRDefault="009527F8" w:rsidP="00821F9B">
            <w:r w:rsidRPr="007263E1">
              <w:t>15</w:t>
            </w:r>
          </w:p>
        </w:tc>
        <w:tc>
          <w:tcPr>
            <w:tcW w:w="720" w:type="dxa"/>
            <w:vAlign w:val="center"/>
          </w:tcPr>
          <w:p w14:paraId="0E04AA98" w14:textId="77777777" w:rsidR="009527F8" w:rsidRPr="007263E1" w:rsidRDefault="009527F8" w:rsidP="00821F9B">
            <w:r w:rsidRPr="007263E1">
              <w:t>10.3</w:t>
            </w:r>
          </w:p>
        </w:tc>
        <w:tc>
          <w:tcPr>
            <w:tcW w:w="1710" w:type="dxa"/>
            <w:vAlign w:val="center"/>
          </w:tcPr>
          <w:p w14:paraId="641133C7" w14:textId="77777777" w:rsidR="009527F8" w:rsidRPr="007263E1" w:rsidRDefault="009527F8" w:rsidP="00821F9B">
            <w:r w:rsidRPr="007263E1">
              <w:t>3</w:t>
            </w:r>
          </w:p>
        </w:tc>
        <w:tc>
          <w:tcPr>
            <w:tcW w:w="714" w:type="dxa"/>
          </w:tcPr>
          <w:p w14:paraId="02FC39BB" w14:textId="77777777" w:rsidR="009527F8" w:rsidRPr="007263E1" w:rsidRDefault="009527F8" w:rsidP="00821F9B">
            <w:pPr>
              <w:pStyle w:val="ListParagraph"/>
              <w:ind w:left="0"/>
              <w:rPr>
                <w:rFonts w:cs="Times New Roman"/>
              </w:rPr>
            </w:pPr>
            <w:r w:rsidRPr="007263E1">
              <w:rPr>
                <w:rFonts w:cs="Times New Roman"/>
              </w:rPr>
              <w:t>2.1</w:t>
            </w:r>
          </w:p>
        </w:tc>
        <w:tc>
          <w:tcPr>
            <w:tcW w:w="931" w:type="dxa"/>
            <w:vAlign w:val="center"/>
          </w:tcPr>
          <w:p w14:paraId="213F65A5" w14:textId="77777777" w:rsidR="009527F8" w:rsidRPr="007263E1" w:rsidRDefault="009527F8" w:rsidP="00821F9B">
            <w:r w:rsidRPr="007263E1">
              <w:t>145</w:t>
            </w:r>
          </w:p>
        </w:tc>
        <w:tc>
          <w:tcPr>
            <w:tcW w:w="695" w:type="dxa"/>
          </w:tcPr>
          <w:p w14:paraId="182B32F4" w14:textId="77777777" w:rsidR="009527F8" w:rsidRPr="007263E1" w:rsidRDefault="009527F8" w:rsidP="00821F9B">
            <w:pPr>
              <w:pStyle w:val="ListParagraph"/>
              <w:ind w:left="0"/>
              <w:rPr>
                <w:rFonts w:cs="Times New Roman"/>
              </w:rPr>
            </w:pPr>
            <w:r w:rsidRPr="007263E1">
              <w:rPr>
                <w:rFonts w:cs="Times New Roman"/>
              </w:rPr>
              <w:t>100</w:t>
            </w:r>
          </w:p>
        </w:tc>
      </w:tr>
      <w:tr w:rsidR="009527F8" w:rsidRPr="007263E1" w14:paraId="6886D672" w14:textId="77777777" w:rsidTr="00821F9B">
        <w:tc>
          <w:tcPr>
            <w:tcW w:w="918" w:type="dxa"/>
          </w:tcPr>
          <w:p w14:paraId="78C93C39" w14:textId="77777777" w:rsidR="009527F8" w:rsidRPr="007263E1" w:rsidRDefault="009527F8" w:rsidP="00821F9B">
            <w:pPr>
              <w:pStyle w:val="ListParagraph"/>
              <w:ind w:left="0"/>
              <w:rPr>
                <w:rFonts w:cs="Times New Roman"/>
              </w:rPr>
            </w:pPr>
            <w:r w:rsidRPr="007263E1">
              <w:rPr>
                <w:rFonts w:cs="Times New Roman"/>
              </w:rPr>
              <w:t>Total</w:t>
            </w:r>
          </w:p>
        </w:tc>
        <w:tc>
          <w:tcPr>
            <w:tcW w:w="900" w:type="dxa"/>
          </w:tcPr>
          <w:p w14:paraId="5B183FAE" w14:textId="77777777" w:rsidR="009527F8" w:rsidRPr="007263E1" w:rsidRDefault="009527F8" w:rsidP="00821F9B">
            <w:pPr>
              <w:pStyle w:val="ListParagraph"/>
              <w:ind w:left="0"/>
              <w:rPr>
                <w:rFonts w:cs="Times New Roman"/>
              </w:rPr>
            </w:pPr>
            <w:r w:rsidRPr="007263E1">
              <w:rPr>
                <w:rFonts w:cs="Times New Roman"/>
              </w:rPr>
              <w:t>555</w:t>
            </w:r>
          </w:p>
        </w:tc>
        <w:tc>
          <w:tcPr>
            <w:tcW w:w="720" w:type="dxa"/>
          </w:tcPr>
          <w:p w14:paraId="4C4FE27B" w14:textId="77777777" w:rsidR="009527F8" w:rsidRPr="007263E1" w:rsidRDefault="009527F8" w:rsidP="00821F9B">
            <w:pPr>
              <w:pStyle w:val="ListParagraph"/>
              <w:ind w:left="0"/>
              <w:rPr>
                <w:rFonts w:cs="Times New Roman"/>
              </w:rPr>
            </w:pPr>
            <w:r w:rsidRPr="007263E1">
              <w:rPr>
                <w:rFonts w:cs="Times New Roman"/>
              </w:rPr>
              <w:t>83.5</w:t>
            </w:r>
          </w:p>
        </w:tc>
        <w:tc>
          <w:tcPr>
            <w:tcW w:w="990" w:type="dxa"/>
          </w:tcPr>
          <w:p w14:paraId="2FB07495" w14:textId="77777777" w:rsidR="009527F8" w:rsidRPr="007263E1" w:rsidRDefault="009527F8" w:rsidP="00821F9B">
            <w:pPr>
              <w:pStyle w:val="ListParagraph"/>
              <w:ind w:left="0"/>
              <w:rPr>
                <w:rFonts w:cs="Times New Roman"/>
              </w:rPr>
            </w:pPr>
            <w:r w:rsidRPr="007263E1">
              <w:rPr>
                <w:rFonts w:cs="Times New Roman"/>
              </w:rPr>
              <w:t>95</w:t>
            </w:r>
          </w:p>
        </w:tc>
        <w:tc>
          <w:tcPr>
            <w:tcW w:w="720" w:type="dxa"/>
          </w:tcPr>
          <w:p w14:paraId="1F754130" w14:textId="77777777" w:rsidR="009527F8" w:rsidRPr="007263E1" w:rsidRDefault="009527F8" w:rsidP="00821F9B">
            <w:pPr>
              <w:pStyle w:val="ListParagraph"/>
              <w:ind w:left="0"/>
              <w:rPr>
                <w:rFonts w:cs="Times New Roman"/>
              </w:rPr>
            </w:pPr>
            <w:r w:rsidRPr="007263E1">
              <w:rPr>
                <w:rFonts w:cs="Times New Roman"/>
              </w:rPr>
              <w:t>14.1</w:t>
            </w:r>
          </w:p>
        </w:tc>
        <w:tc>
          <w:tcPr>
            <w:tcW w:w="1710" w:type="dxa"/>
          </w:tcPr>
          <w:p w14:paraId="705285BB" w14:textId="77777777" w:rsidR="009527F8" w:rsidRPr="007263E1" w:rsidRDefault="009527F8" w:rsidP="00821F9B">
            <w:pPr>
              <w:pStyle w:val="ListParagraph"/>
              <w:ind w:left="0"/>
              <w:rPr>
                <w:rFonts w:cs="Times New Roman"/>
              </w:rPr>
            </w:pPr>
            <w:r w:rsidRPr="007263E1">
              <w:rPr>
                <w:rFonts w:cs="Times New Roman"/>
              </w:rPr>
              <w:t>15</w:t>
            </w:r>
          </w:p>
        </w:tc>
        <w:tc>
          <w:tcPr>
            <w:tcW w:w="714" w:type="dxa"/>
          </w:tcPr>
          <w:p w14:paraId="28E15916" w14:textId="77777777" w:rsidR="009527F8" w:rsidRPr="007263E1" w:rsidRDefault="009527F8" w:rsidP="00821F9B">
            <w:pPr>
              <w:pStyle w:val="ListParagraph"/>
              <w:ind w:left="0"/>
              <w:rPr>
                <w:rFonts w:cs="Times New Roman"/>
              </w:rPr>
            </w:pPr>
            <w:r w:rsidRPr="007263E1">
              <w:rPr>
                <w:rFonts w:cs="Times New Roman"/>
              </w:rPr>
              <w:t>2.4</w:t>
            </w:r>
          </w:p>
        </w:tc>
        <w:tc>
          <w:tcPr>
            <w:tcW w:w="931" w:type="dxa"/>
          </w:tcPr>
          <w:p w14:paraId="68236819" w14:textId="77777777" w:rsidR="009527F8" w:rsidRPr="007263E1" w:rsidRDefault="009527F8" w:rsidP="00821F9B">
            <w:pPr>
              <w:pStyle w:val="ListParagraph"/>
              <w:ind w:left="0"/>
              <w:rPr>
                <w:rFonts w:cs="Times New Roman"/>
              </w:rPr>
            </w:pPr>
            <w:r w:rsidRPr="007263E1">
              <w:rPr>
                <w:rFonts w:cs="Times New Roman"/>
              </w:rPr>
              <w:t>665</w:t>
            </w:r>
          </w:p>
        </w:tc>
        <w:tc>
          <w:tcPr>
            <w:tcW w:w="695" w:type="dxa"/>
          </w:tcPr>
          <w:p w14:paraId="315D6F62" w14:textId="77777777" w:rsidR="009527F8" w:rsidRPr="007263E1" w:rsidRDefault="009527F8" w:rsidP="00821F9B">
            <w:pPr>
              <w:pStyle w:val="ListParagraph"/>
              <w:ind w:left="0"/>
              <w:rPr>
                <w:rFonts w:cs="Times New Roman"/>
              </w:rPr>
            </w:pPr>
            <w:r w:rsidRPr="007263E1">
              <w:rPr>
                <w:rFonts w:cs="Times New Roman"/>
              </w:rPr>
              <w:t>100</w:t>
            </w:r>
          </w:p>
        </w:tc>
      </w:tr>
    </w:tbl>
    <w:p w14:paraId="17DDB712" w14:textId="77777777" w:rsidR="00EE0248" w:rsidRPr="007263E1" w:rsidRDefault="00EE0248" w:rsidP="00631AE2">
      <w:pPr>
        <w:jc w:val="both"/>
        <w:rPr>
          <w:rFonts w:ascii="Times New Roman" w:hAnsi="Times New Roman" w:cs="Times New Roman"/>
        </w:rPr>
      </w:pPr>
      <w:r w:rsidRPr="007263E1">
        <w:rPr>
          <w:rFonts w:ascii="Times New Roman" w:hAnsi="Times New Roman" w:cs="Times New Roman"/>
        </w:rPr>
        <w:lastRenderedPageBreak/>
        <w:t xml:space="preserve">Figure </w:t>
      </w:r>
      <w:proofErr w:type="gramStart"/>
      <w:r w:rsidRPr="007263E1">
        <w:rPr>
          <w:rFonts w:ascii="Times New Roman" w:hAnsi="Times New Roman" w:cs="Times New Roman"/>
        </w:rPr>
        <w:t>4 :</w:t>
      </w:r>
      <w:proofErr w:type="gramEnd"/>
    </w:p>
    <w:p w14:paraId="2FC4F758" w14:textId="77777777" w:rsidR="00EE0248" w:rsidRPr="007263E1" w:rsidRDefault="00EE0248" w:rsidP="00631AE2">
      <w:pPr>
        <w:jc w:val="both"/>
        <w:rPr>
          <w:rFonts w:ascii="Times New Roman" w:hAnsi="Times New Roman" w:cs="Times New Roman"/>
        </w:rPr>
      </w:pPr>
    </w:p>
    <w:p w14:paraId="3251C196" w14:textId="77777777" w:rsidR="00EE0248" w:rsidRPr="007263E1" w:rsidRDefault="00EE0248" w:rsidP="00EE0248">
      <w:pPr>
        <w:rPr>
          <w:rFonts w:ascii="Times New Roman" w:hAnsi="Times New Roman" w:cs="Times New Roman"/>
        </w:rPr>
      </w:pPr>
      <w:r w:rsidRPr="007263E1">
        <w:rPr>
          <w:rFonts w:ascii="Times New Roman" w:hAnsi="Times New Roman" w:cs="Times New Roman"/>
          <w:noProof/>
        </w:rPr>
        <w:drawing>
          <wp:inline distT="0" distB="0" distL="0" distR="0" wp14:anchorId="0AAA7EAA" wp14:editId="49C9EE96">
            <wp:extent cx="5570220" cy="2867025"/>
            <wp:effectExtent l="19050" t="0" r="1143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7C7070" w14:textId="77777777" w:rsidR="00EE0248" w:rsidRPr="007263E1" w:rsidRDefault="00EE0248" w:rsidP="00631AE2">
      <w:pPr>
        <w:jc w:val="both"/>
        <w:rPr>
          <w:rFonts w:ascii="Times New Roman" w:hAnsi="Times New Roman" w:cs="Times New Roman"/>
        </w:rPr>
      </w:pPr>
    </w:p>
    <w:p w14:paraId="11F21D1B" w14:textId="77777777" w:rsidR="00EE0248" w:rsidRPr="007263E1" w:rsidRDefault="00EE0248" w:rsidP="00631AE2">
      <w:pPr>
        <w:jc w:val="both"/>
        <w:rPr>
          <w:rFonts w:ascii="Times New Roman" w:hAnsi="Times New Roman" w:cs="Times New Roman"/>
        </w:rPr>
      </w:pPr>
    </w:p>
    <w:p w14:paraId="105352ED" w14:textId="77777777" w:rsidR="00EE0248" w:rsidRPr="007263E1" w:rsidRDefault="00EE0248" w:rsidP="00631AE2">
      <w:pPr>
        <w:jc w:val="both"/>
        <w:rPr>
          <w:rFonts w:ascii="Times New Roman" w:hAnsi="Times New Roman" w:cs="Times New Roman"/>
        </w:rPr>
      </w:pPr>
    </w:p>
    <w:p w14:paraId="67A117D3" w14:textId="77777777" w:rsidR="00FE6A7F" w:rsidRPr="007263E1" w:rsidRDefault="00EE0248" w:rsidP="00631AE2">
      <w:pPr>
        <w:jc w:val="both"/>
        <w:rPr>
          <w:rFonts w:ascii="Times New Roman" w:hAnsi="Times New Roman" w:cs="Times New Roman"/>
        </w:rPr>
      </w:pPr>
      <w:r w:rsidRPr="007263E1">
        <w:rPr>
          <w:rFonts w:ascii="Times New Roman" w:hAnsi="Times New Roman" w:cs="Times New Roman"/>
        </w:rPr>
        <w:t>Figure 5:</w:t>
      </w:r>
    </w:p>
    <w:p w14:paraId="2A1BEFAB" w14:textId="77777777" w:rsidR="00EE0248" w:rsidRPr="007263E1" w:rsidRDefault="00EE0248" w:rsidP="00631AE2">
      <w:pPr>
        <w:jc w:val="both"/>
        <w:rPr>
          <w:rFonts w:ascii="Times New Roman" w:hAnsi="Times New Roman" w:cs="Times New Roman"/>
        </w:rPr>
      </w:pPr>
    </w:p>
    <w:p w14:paraId="0CC629D2" w14:textId="77777777" w:rsidR="00EE0248" w:rsidRPr="007263E1" w:rsidRDefault="00DA557F" w:rsidP="00631AE2">
      <w:pPr>
        <w:jc w:val="both"/>
        <w:rPr>
          <w:rFonts w:ascii="Times New Roman" w:hAnsi="Times New Roman" w:cs="Times New Roman"/>
        </w:rPr>
      </w:pPr>
      <w:r w:rsidRPr="007263E1">
        <w:rPr>
          <w:rFonts w:ascii="Times New Roman" w:hAnsi="Times New Roman" w:cs="Times New Roman"/>
          <w:noProof/>
        </w:rPr>
        <w:drawing>
          <wp:inline distT="0" distB="0" distL="0" distR="0" wp14:anchorId="62D2DE7C" wp14:editId="4EAE2DC3">
            <wp:extent cx="5732145" cy="2962275"/>
            <wp:effectExtent l="19050" t="0" r="20955"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3F27B2" w14:textId="77777777" w:rsidR="00EE0248" w:rsidRPr="007263E1" w:rsidRDefault="00EE0248" w:rsidP="00631AE2">
      <w:pPr>
        <w:jc w:val="both"/>
        <w:rPr>
          <w:rFonts w:ascii="Times New Roman" w:hAnsi="Times New Roman" w:cs="Times New Roman"/>
        </w:rPr>
      </w:pPr>
    </w:p>
    <w:p w14:paraId="76E2994C" w14:textId="77777777" w:rsidR="00EE0248" w:rsidRDefault="00EE0248" w:rsidP="00631AE2">
      <w:pPr>
        <w:jc w:val="both"/>
        <w:rPr>
          <w:rFonts w:ascii="Times New Roman" w:hAnsi="Times New Roman" w:cs="Times New Roman"/>
        </w:rPr>
      </w:pPr>
    </w:p>
    <w:p w14:paraId="6E1FFD4E" w14:textId="77777777" w:rsidR="005465FC" w:rsidRPr="007263E1" w:rsidRDefault="005465FC" w:rsidP="00631AE2">
      <w:pPr>
        <w:jc w:val="both"/>
        <w:rPr>
          <w:rFonts w:ascii="Times New Roman" w:hAnsi="Times New Roman" w:cs="Times New Roman"/>
        </w:rPr>
      </w:pPr>
    </w:p>
    <w:p w14:paraId="5C458D8C" w14:textId="77777777" w:rsidR="004245FA" w:rsidRDefault="004245FA" w:rsidP="00631AE2">
      <w:pPr>
        <w:jc w:val="both"/>
        <w:rPr>
          <w:rFonts w:ascii="Times New Roman" w:hAnsi="Times New Roman" w:cs="Times New Roman"/>
        </w:rPr>
        <w:sectPr w:rsidR="004245FA" w:rsidSect="00B50CA1">
          <w:type w:val="continuous"/>
          <w:pgSz w:w="11907" w:h="16839" w:code="9"/>
          <w:pgMar w:top="1440" w:right="1440" w:bottom="1440" w:left="1440" w:header="720" w:footer="720" w:gutter="0"/>
          <w:cols w:space="720"/>
          <w:docGrid w:linePitch="360"/>
        </w:sectPr>
      </w:pPr>
    </w:p>
    <w:p w14:paraId="73542992" w14:textId="77777777" w:rsidR="00EE0248" w:rsidRPr="007263E1" w:rsidRDefault="00DA557F" w:rsidP="00631AE2">
      <w:pPr>
        <w:jc w:val="both"/>
        <w:rPr>
          <w:rFonts w:ascii="Times New Roman" w:hAnsi="Times New Roman" w:cs="Times New Roman"/>
        </w:rPr>
      </w:pPr>
      <w:r w:rsidRPr="007263E1">
        <w:rPr>
          <w:rFonts w:ascii="Times New Roman" w:hAnsi="Times New Roman" w:cs="Times New Roman"/>
        </w:rPr>
        <w:lastRenderedPageBreak/>
        <w:t>Distribution of life expectancy to patient with i</w:t>
      </w:r>
      <w:r w:rsidR="00E65D0E" w:rsidRPr="007263E1">
        <w:rPr>
          <w:rFonts w:ascii="Times New Roman" w:hAnsi="Times New Roman" w:cs="Times New Roman"/>
        </w:rPr>
        <w:t xml:space="preserve">nhalation trauma in </w:t>
      </w:r>
      <w:r w:rsidRPr="007263E1">
        <w:rPr>
          <w:rFonts w:ascii="Times New Roman" w:hAnsi="Times New Roman" w:cs="Times New Roman"/>
        </w:rPr>
        <w:t xml:space="preserve">Dr. </w:t>
      </w:r>
      <w:proofErr w:type="spellStart"/>
      <w:r w:rsidRPr="007263E1">
        <w:rPr>
          <w:rFonts w:ascii="Times New Roman" w:hAnsi="Times New Roman" w:cs="Times New Roman"/>
        </w:rPr>
        <w:t>Soetomo</w:t>
      </w:r>
      <w:proofErr w:type="spellEnd"/>
      <w:r w:rsidR="00E65D0E" w:rsidRPr="007263E1">
        <w:rPr>
          <w:rFonts w:ascii="Times New Roman" w:hAnsi="Times New Roman" w:cs="Times New Roman"/>
        </w:rPr>
        <w:t xml:space="preserve"> General Hospital</w:t>
      </w:r>
      <w:r w:rsidRPr="007263E1">
        <w:rPr>
          <w:rFonts w:ascii="Times New Roman" w:hAnsi="Times New Roman" w:cs="Times New Roman"/>
        </w:rPr>
        <w:t xml:space="preserve"> for the last 5 years shows that inhalation trauma became a major factor on the high number of death caused by fire. Cure rate was happened on most </w:t>
      </w:r>
      <w:proofErr w:type="gramStart"/>
      <w:r w:rsidRPr="007263E1">
        <w:rPr>
          <w:rFonts w:ascii="Times New Roman" w:hAnsi="Times New Roman" w:cs="Times New Roman"/>
        </w:rPr>
        <w:t>patient</w:t>
      </w:r>
      <w:proofErr w:type="gramEnd"/>
      <w:r w:rsidRPr="007263E1">
        <w:rPr>
          <w:rFonts w:ascii="Times New Roman" w:hAnsi="Times New Roman" w:cs="Times New Roman"/>
        </w:rPr>
        <w:t xml:space="preserve"> without case of inhalation trauma. (</w:t>
      </w:r>
      <w:proofErr w:type="gramStart"/>
      <w:r w:rsidRPr="007263E1">
        <w:rPr>
          <w:rFonts w:ascii="Times New Roman" w:hAnsi="Times New Roman" w:cs="Times New Roman"/>
        </w:rPr>
        <w:t>figure</w:t>
      </w:r>
      <w:proofErr w:type="gramEnd"/>
      <w:r w:rsidRPr="007263E1">
        <w:rPr>
          <w:rFonts w:ascii="Times New Roman" w:hAnsi="Times New Roman" w:cs="Times New Roman"/>
        </w:rPr>
        <w:t xml:space="preserve"> 6).</w:t>
      </w:r>
    </w:p>
    <w:p w14:paraId="7ECBAD96" w14:textId="77777777" w:rsidR="004245FA" w:rsidRDefault="004245FA" w:rsidP="00631AE2">
      <w:pPr>
        <w:jc w:val="both"/>
        <w:rPr>
          <w:rFonts w:ascii="Times New Roman" w:hAnsi="Times New Roman" w:cs="Times New Roman"/>
        </w:rPr>
        <w:sectPr w:rsidR="004245FA" w:rsidSect="004245FA">
          <w:type w:val="continuous"/>
          <w:pgSz w:w="11907" w:h="16839" w:code="9"/>
          <w:pgMar w:top="1440" w:right="1440" w:bottom="1440" w:left="1440" w:header="720" w:footer="720" w:gutter="0"/>
          <w:cols w:num="2" w:space="720"/>
          <w:docGrid w:linePitch="360"/>
        </w:sectPr>
      </w:pPr>
      <w:r w:rsidRPr="007263E1">
        <w:rPr>
          <w:rFonts w:ascii="Times New Roman" w:hAnsi="Times New Roman" w:cs="Times New Roman"/>
        </w:rPr>
        <w:lastRenderedPageBreak/>
        <w:t xml:space="preserve">Inhalation </w:t>
      </w:r>
      <w:proofErr w:type="gramStart"/>
      <w:r w:rsidRPr="007263E1">
        <w:rPr>
          <w:rFonts w:ascii="Times New Roman" w:hAnsi="Times New Roman" w:cs="Times New Roman"/>
        </w:rPr>
        <w:t>trauma were</w:t>
      </w:r>
      <w:proofErr w:type="gramEnd"/>
      <w:r w:rsidRPr="007263E1">
        <w:rPr>
          <w:rFonts w:ascii="Times New Roman" w:hAnsi="Times New Roman" w:cs="Times New Roman"/>
        </w:rPr>
        <w:t xml:space="preserve"> discovered in 96 (14.4%) patients, and there were 46 (48.4%) death cases accompanied with inhalation trauma. Statistical analysis using chi-square and contingency coefficient used to test the relations between results of given treatment and inhalation trauma revealed p= 0.0001 with significant value r= 0.625. (</w:t>
      </w:r>
      <w:proofErr w:type="gramStart"/>
      <w:r w:rsidRPr="007263E1">
        <w:rPr>
          <w:rFonts w:ascii="Times New Roman" w:hAnsi="Times New Roman" w:cs="Times New Roman"/>
        </w:rPr>
        <w:t>table</w:t>
      </w:r>
      <w:proofErr w:type="gramEnd"/>
      <w:r w:rsidRPr="007263E1">
        <w:rPr>
          <w:rFonts w:ascii="Times New Roman" w:hAnsi="Times New Roman" w:cs="Times New Roman"/>
        </w:rPr>
        <w:t xml:space="preserve"> 5).</w:t>
      </w:r>
    </w:p>
    <w:p w14:paraId="66CF54E4" w14:textId="77777777" w:rsidR="00085C7C" w:rsidRPr="007263E1" w:rsidRDefault="00085C7C" w:rsidP="00631AE2">
      <w:pPr>
        <w:jc w:val="both"/>
        <w:rPr>
          <w:rFonts w:ascii="Times New Roman" w:hAnsi="Times New Roman" w:cs="Times New Roman"/>
        </w:rPr>
      </w:pPr>
      <w:r w:rsidRPr="007263E1">
        <w:rPr>
          <w:rFonts w:ascii="Times New Roman" w:hAnsi="Times New Roman" w:cs="Times New Roman"/>
        </w:rPr>
        <w:lastRenderedPageBreak/>
        <w:t>Figure 6:</w:t>
      </w:r>
    </w:p>
    <w:p w14:paraId="3AF8A358" w14:textId="77777777" w:rsidR="00837F78" w:rsidRPr="007263E1" w:rsidRDefault="00837F78" w:rsidP="00631AE2">
      <w:pPr>
        <w:jc w:val="both"/>
        <w:rPr>
          <w:rFonts w:ascii="Times New Roman" w:hAnsi="Times New Roman" w:cs="Times New Roman"/>
        </w:rPr>
      </w:pPr>
    </w:p>
    <w:p w14:paraId="6F9F2BC0" w14:textId="77777777" w:rsidR="00EE0248" w:rsidRPr="007263E1" w:rsidRDefault="00085C7C" w:rsidP="00631AE2">
      <w:pPr>
        <w:jc w:val="both"/>
        <w:rPr>
          <w:rFonts w:ascii="Times New Roman" w:hAnsi="Times New Roman" w:cs="Times New Roman"/>
        </w:rPr>
      </w:pPr>
      <w:r w:rsidRPr="007263E1">
        <w:rPr>
          <w:rFonts w:ascii="Times New Roman" w:hAnsi="Times New Roman" w:cs="Times New Roman"/>
          <w:noProof/>
        </w:rPr>
        <w:drawing>
          <wp:inline distT="0" distB="0" distL="0" distR="0" wp14:anchorId="0B1E6F34" wp14:editId="299CDDCE">
            <wp:extent cx="5495925" cy="3000375"/>
            <wp:effectExtent l="19050" t="0" r="952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5E5B36" w14:textId="77777777" w:rsidR="00837F78" w:rsidRPr="007263E1" w:rsidRDefault="00837F78" w:rsidP="00631AE2">
      <w:pPr>
        <w:jc w:val="both"/>
        <w:rPr>
          <w:rFonts w:ascii="Times New Roman" w:hAnsi="Times New Roman" w:cs="Times New Roman"/>
        </w:rPr>
      </w:pPr>
    </w:p>
    <w:p w14:paraId="66DE0733" w14:textId="77777777" w:rsidR="00085C7C" w:rsidRPr="007263E1" w:rsidRDefault="00085C7C" w:rsidP="00631AE2">
      <w:pPr>
        <w:jc w:val="both"/>
        <w:rPr>
          <w:rFonts w:ascii="Times New Roman" w:hAnsi="Times New Roman" w:cs="Times New Roman"/>
        </w:rPr>
      </w:pPr>
    </w:p>
    <w:p w14:paraId="6EC70E89" w14:textId="77777777" w:rsidR="00821F9B" w:rsidRPr="007263E1" w:rsidRDefault="00821F9B" w:rsidP="00821F9B">
      <w:pPr>
        <w:jc w:val="both"/>
        <w:rPr>
          <w:rFonts w:ascii="Times New Roman" w:hAnsi="Times New Roman" w:cs="Times New Roman"/>
        </w:rPr>
      </w:pPr>
      <w:r w:rsidRPr="007263E1">
        <w:rPr>
          <w:rFonts w:ascii="Times New Roman" w:hAnsi="Times New Roman" w:cs="Times New Roman"/>
        </w:rPr>
        <w:t xml:space="preserve">Table 5. Distribution of outcome with inhalation trauma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w:t>
      </w:r>
    </w:p>
    <w:p w14:paraId="658583E5" w14:textId="77777777" w:rsidR="00821F9B" w:rsidRPr="007263E1" w:rsidRDefault="00821F9B" w:rsidP="00821F9B">
      <w:pPr>
        <w:spacing w:line="360" w:lineRule="auto"/>
        <w:jc w:val="both"/>
      </w:pPr>
    </w:p>
    <w:tbl>
      <w:tblPr>
        <w:tblStyle w:val="TableGrid"/>
        <w:tblW w:w="0" w:type="auto"/>
        <w:tblInd w:w="828" w:type="dxa"/>
        <w:tblLayout w:type="fixed"/>
        <w:tblLook w:val="04A0" w:firstRow="1" w:lastRow="0" w:firstColumn="1" w:lastColumn="0" w:noHBand="0" w:noVBand="1"/>
      </w:tblPr>
      <w:tblGrid>
        <w:gridCol w:w="2340"/>
        <w:gridCol w:w="1080"/>
        <w:gridCol w:w="810"/>
        <w:gridCol w:w="1080"/>
        <w:gridCol w:w="810"/>
        <w:gridCol w:w="1170"/>
        <w:gridCol w:w="900"/>
      </w:tblGrid>
      <w:tr w:rsidR="00821F9B" w:rsidRPr="007263E1" w14:paraId="2DEDF474" w14:textId="77777777" w:rsidTr="00821F9B">
        <w:tc>
          <w:tcPr>
            <w:tcW w:w="2340" w:type="dxa"/>
            <w:vMerge w:val="restart"/>
            <w:vAlign w:val="center"/>
          </w:tcPr>
          <w:p w14:paraId="4E21D835" w14:textId="77777777" w:rsidR="00821F9B" w:rsidRPr="007263E1" w:rsidRDefault="00821F9B" w:rsidP="00821F9B">
            <w:pPr>
              <w:pStyle w:val="ListParagraph"/>
              <w:ind w:left="0"/>
              <w:rPr>
                <w:rFonts w:cs="Times New Roman"/>
              </w:rPr>
            </w:pPr>
            <w:r w:rsidRPr="007263E1">
              <w:rPr>
                <w:rFonts w:cs="Times New Roman"/>
              </w:rPr>
              <w:t>Results of</w:t>
            </w:r>
            <w:r w:rsidR="002F79B6" w:rsidRPr="007263E1">
              <w:rPr>
                <w:rFonts w:cs="Times New Roman"/>
              </w:rPr>
              <w:t xml:space="preserve"> Given</w:t>
            </w:r>
            <w:r w:rsidRPr="007263E1">
              <w:rPr>
                <w:rFonts w:cs="Times New Roman"/>
              </w:rPr>
              <w:t xml:space="preserve"> Treatment</w:t>
            </w:r>
          </w:p>
        </w:tc>
        <w:tc>
          <w:tcPr>
            <w:tcW w:w="3780" w:type="dxa"/>
            <w:gridSpan w:val="4"/>
          </w:tcPr>
          <w:p w14:paraId="0370584D" w14:textId="77777777" w:rsidR="00821F9B" w:rsidRPr="007263E1" w:rsidRDefault="00821F9B" w:rsidP="00821F9B">
            <w:pPr>
              <w:pStyle w:val="ListParagraph"/>
              <w:ind w:left="0"/>
              <w:rPr>
                <w:rFonts w:cs="Times New Roman"/>
              </w:rPr>
            </w:pPr>
            <w:r w:rsidRPr="007263E1">
              <w:rPr>
                <w:rFonts w:cs="Times New Roman"/>
              </w:rPr>
              <w:t>Inhalation Trauma</w:t>
            </w:r>
          </w:p>
        </w:tc>
        <w:tc>
          <w:tcPr>
            <w:tcW w:w="1170" w:type="dxa"/>
            <w:vMerge w:val="restart"/>
            <w:vAlign w:val="center"/>
          </w:tcPr>
          <w:p w14:paraId="07F83CCC" w14:textId="77777777" w:rsidR="00821F9B" w:rsidRPr="007263E1" w:rsidRDefault="00821F9B" w:rsidP="00821F9B">
            <w:pPr>
              <w:pStyle w:val="ListParagraph"/>
              <w:ind w:left="0"/>
              <w:rPr>
                <w:rFonts w:cs="Times New Roman"/>
              </w:rPr>
            </w:pPr>
            <w:r w:rsidRPr="007263E1">
              <w:rPr>
                <w:rFonts w:cs="Times New Roman"/>
              </w:rPr>
              <w:t>Total</w:t>
            </w:r>
          </w:p>
        </w:tc>
        <w:tc>
          <w:tcPr>
            <w:tcW w:w="900" w:type="dxa"/>
            <w:vMerge w:val="restart"/>
            <w:vAlign w:val="center"/>
          </w:tcPr>
          <w:p w14:paraId="594101C6" w14:textId="77777777" w:rsidR="00821F9B" w:rsidRPr="007263E1" w:rsidRDefault="00821F9B" w:rsidP="00821F9B">
            <w:pPr>
              <w:pStyle w:val="ListParagraph"/>
              <w:ind w:left="0"/>
              <w:rPr>
                <w:rFonts w:cs="Times New Roman"/>
              </w:rPr>
            </w:pPr>
            <w:r w:rsidRPr="007263E1">
              <w:rPr>
                <w:rFonts w:cs="Times New Roman"/>
              </w:rPr>
              <w:t>%</w:t>
            </w:r>
          </w:p>
        </w:tc>
      </w:tr>
      <w:tr w:rsidR="00821F9B" w:rsidRPr="007263E1" w14:paraId="2F20527A" w14:textId="77777777" w:rsidTr="00821F9B">
        <w:tc>
          <w:tcPr>
            <w:tcW w:w="2340" w:type="dxa"/>
            <w:vMerge/>
          </w:tcPr>
          <w:p w14:paraId="1CC7D2B8" w14:textId="77777777" w:rsidR="00821F9B" w:rsidRPr="007263E1" w:rsidRDefault="00821F9B" w:rsidP="00821F9B">
            <w:pPr>
              <w:pStyle w:val="ListParagraph"/>
              <w:ind w:left="0"/>
              <w:jc w:val="both"/>
              <w:rPr>
                <w:rFonts w:cs="Times New Roman"/>
              </w:rPr>
            </w:pPr>
          </w:p>
        </w:tc>
        <w:tc>
          <w:tcPr>
            <w:tcW w:w="1080" w:type="dxa"/>
          </w:tcPr>
          <w:p w14:paraId="38EBA8BF" w14:textId="77777777" w:rsidR="00821F9B" w:rsidRPr="007263E1" w:rsidRDefault="00821F9B" w:rsidP="00821F9B">
            <w:pPr>
              <w:pStyle w:val="ListParagraph"/>
              <w:ind w:left="0"/>
              <w:rPr>
                <w:rFonts w:cs="Times New Roman"/>
              </w:rPr>
            </w:pPr>
            <w:r w:rsidRPr="007263E1">
              <w:rPr>
                <w:rFonts w:cs="Times New Roman"/>
              </w:rPr>
              <w:t>Yes</w:t>
            </w:r>
          </w:p>
        </w:tc>
        <w:tc>
          <w:tcPr>
            <w:tcW w:w="810" w:type="dxa"/>
          </w:tcPr>
          <w:p w14:paraId="43B5814D" w14:textId="77777777" w:rsidR="00821F9B" w:rsidRPr="007263E1" w:rsidRDefault="00821F9B" w:rsidP="00821F9B">
            <w:pPr>
              <w:pStyle w:val="ListParagraph"/>
              <w:ind w:left="0"/>
              <w:rPr>
                <w:rFonts w:cs="Times New Roman"/>
              </w:rPr>
            </w:pPr>
            <w:r w:rsidRPr="007263E1">
              <w:rPr>
                <w:rFonts w:cs="Times New Roman"/>
              </w:rPr>
              <w:t>%</w:t>
            </w:r>
          </w:p>
        </w:tc>
        <w:tc>
          <w:tcPr>
            <w:tcW w:w="1080" w:type="dxa"/>
          </w:tcPr>
          <w:p w14:paraId="252E3F9D" w14:textId="77777777" w:rsidR="00821F9B" w:rsidRPr="007263E1" w:rsidRDefault="00821F9B" w:rsidP="00821F9B">
            <w:pPr>
              <w:pStyle w:val="ListParagraph"/>
              <w:ind w:left="0"/>
              <w:rPr>
                <w:rFonts w:cs="Times New Roman"/>
              </w:rPr>
            </w:pPr>
            <w:r w:rsidRPr="007263E1">
              <w:rPr>
                <w:rFonts w:cs="Times New Roman"/>
              </w:rPr>
              <w:t>No</w:t>
            </w:r>
          </w:p>
        </w:tc>
        <w:tc>
          <w:tcPr>
            <w:tcW w:w="810" w:type="dxa"/>
          </w:tcPr>
          <w:p w14:paraId="7A4B3F4D" w14:textId="77777777" w:rsidR="00821F9B" w:rsidRPr="007263E1" w:rsidRDefault="00821F9B" w:rsidP="00821F9B">
            <w:pPr>
              <w:pStyle w:val="ListParagraph"/>
              <w:ind w:left="0"/>
              <w:rPr>
                <w:rFonts w:cs="Times New Roman"/>
              </w:rPr>
            </w:pPr>
            <w:r w:rsidRPr="007263E1">
              <w:rPr>
                <w:rFonts w:cs="Times New Roman"/>
              </w:rPr>
              <w:t>%</w:t>
            </w:r>
          </w:p>
        </w:tc>
        <w:tc>
          <w:tcPr>
            <w:tcW w:w="1170" w:type="dxa"/>
            <w:vMerge/>
          </w:tcPr>
          <w:p w14:paraId="33C861F0" w14:textId="77777777" w:rsidR="00821F9B" w:rsidRPr="007263E1" w:rsidRDefault="00821F9B" w:rsidP="00821F9B">
            <w:pPr>
              <w:pStyle w:val="ListParagraph"/>
              <w:ind w:left="0"/>
              <w:jc w:val="both"/>
              <w:rPr>
                <w:rFonts w:cs="Times New Roman"/>
              </w:rPr>
            </w:pPr>
          </w:p>
        </w:tc>
        <w:tc>
          <w:tcPr>
            <w:tcW w:w="900" w:type="dxa"/>
            <w:vMerge/>
          </w:tcPr>
          <w:p w14:paraId="2961FC7F" w14:textId="77777777" w:rsidR="00821F9B" w:rsidRPr="007263E1" w:rsidRDefault="00821F9B" w:rsidP="00821F9B">
            <w:pPr>
              <w:pStyle w:val="ListParagraph"/>
              <w:ind w:left="0"/>
              <w:jc w:val="both"/>
              <w:rPr>
                <w:rFonts w:cs="Times New Roman"/>
              </w:rPr>
            </w:pPr>
          </w:p>
        </w:tc>
      </w:tr>
      <w:tr w:rsidR="00821F9B" w:rsidRPr="007263E1" w14:paraId="02F76EDA" w14:textId="77777777" w:rsidTr="00821F9B">
        <w:tc>
          <w:tcPr>
            <w:tcW w:w="2340" w:type="dxa"/>
          </w:tcPr>
          <w:p w14:paraId="0608F0F5" w14:textId="77777777" w:rsidR="00821F9B" w:rsidRPr="007263E1" w:rsidRDefault="00821F9B" w:rsidP="00821F9B">
            <w:pPr>
              <w:pStyle w:val="ListParagraph"/>
              <w:ind w:left="0"/>
              <w:jc w:val="both"/>
              <w:rPr>
                <w:rFonts w:cs="Times New Roman"/>
              </w:rPr>
            </w:pPr>
            <w:r w:rsidRPr="007263E1">
              <w:rPr>
                <w:rFonts w:cs="Times New Roman"/>
              </w:rPr>
              <w:t>Alive</w:t>
            </w:r>
          </w:p>
        </w:tc>
        <w:tc>
          <w:tcPr>
            <w:tcW w:w="1080" w:type="dxa"/>
          </w:tcPr>
          <w:p w14:paraId="2010AA4B" w14:textId="77777777" w:rsidR="00821F9B" w:rsidRPr="007263E1" w:rsidRDefault="00821F9B" w:rsidP="00821F9B">
            <w:pPr>
              <w:pStyle w:val="ListParagraph"/>
              <w:ind w:left="0"/>
              <w:rPr>
                <w:rFonts w:cs="Times New Roman"/>
              </w:rPr>
            </w:pPr>
            <w:r w:rsidRPr="007263E1">
              <w:rPr>
                <w:rFonts w:cs="Times New Roman"/>
              </w:rPr>
              <w:t>50</w:t>
            </w:r>
          </w:p>
        </w:tc>
        <w:tc>
          <w:tcPr>
            <w:tcW w:w="810" w:type="dxa"/>
          </w:tcPr>
          <w:p w14:paraId="3A61B711" w14:textId="77777777" w:rsidR="00821F9B" w:rsidRPr="007263E1" w:rsidRDefault="00821F9B" w:rsidP="00821F9B">
            <w:pPr>
              <w:pStyle w:val="ListParagraph"/>
              <w:ind w:left="0"/>
              <w:rPr>
                <w:rFonts w:cs="Times New Roman"/>
              </w:rPr>
            </w:pPr>
            <w:r w:rsidRPr="007263E1">
              <w:rPr>
                <w:rFonts w:cs="Times New Roman"/>
              </w:rPr>
              <w:t>9</w:t>
            </w:r>
          </w:p>
        </w:tc>
        <w:tc>
          <w:tcPr>
            <w:tcW w:w="1080" w:type="dxa"/>
          </w:tcPr>
          <w:p w14:paraId="51B8ED61" w14:textId="77777777" w:rsidR="00821F9B" w:rsidRPr="007263E1" w:rsidRDefault="00821F9B" w:rsidP="00821F9B">
            <w:pPr>
              <w:pStyle w:val="ListParagraph"/>
              <w:ind w:left="0"/>
              <w:rPr>
                <w:rFonts w:cs="Times New Roman"/>
              </w:rPr>
            </w:pPr>
            <w:r w:rsidRPr="007263E1">
              <w:rPr>
                <w:rFonts w:cs="Times New Roman"/>
              </w:rPr>
              <w:t>505</w:t>
            </w:r>
          </w:p>
        </w:tc>
        <w:tc>
          <w:tcPr>
            <w:tcW w:w="810" w:type="dxa"/>
          </w:tcPr>
          <w:p w14:paraId="3E7772C9" w14:textId="77777777" w:rsidR="00821F9B" w:rsidRPr="007263E1" w:rsidRDefault="00821F9B" w:rsidP="00821F9B">
            <w:pPr>
              <w:pStyle w:val="ListParagraph"/>
              <w:ind w:left="0"/>
              <w:rPr>
                <w:rFonts w:cs="Times New Roman"/>
              </w:rPr>
            </w:pPr>
            <w:r w:rsidRPr="007263E1">
              <w:rPr>
                <w:rFonts w:cs="Times New Roman"/>
              </w:rPr>
              <w:t>91</w:t>
            </w:r>
          </w:p>
        </w:tc>
        <w:tc>
          <w:tcPr>
            <w:tcW w:w="1170" w:type="dxa"/>
          </w:tcPr>
          <w:p w14:paraId="077B6CFA" w14:textId="77777777" w:rsidR="00821F9B" w:rsidRPr="007263E1" w:rsidRDefault="00821F9B" w:rsidP="00821F9B">
            <w:pPr>
              <w:pStyle w:val="ListParagraph"/>
              <w:ind w:left="0"/>
              <w:rPr>
                <w:rFonts w:cs="Times New Roman"/>
              </w:rPr>
            </w:pPr>
            <w:r w:rsidRPr="007263E1">
              <w:rPr>
                <w:rFonts w:cs="Times New Roman"/>
              </w:rPr>
              <w:t>555</w:t>
            </w:r>
          </w:p>
        </w:tc>
        <w:tc>
          <w:tcPr>
            <w:tcW w:w="900" w:type="dxa"/>
          </w:tcPr>
          <w:p w14:paraId="25107223" w14:textId="77777777" w:rsidR="00821F9B" w:rsidRPr="007263E1" w:rsidRDefault="00821F9B" w:rsidP="00821F9B">
            <w:pPr>
              <w:pStyle w:val="ListParagraph"/>
              <w:ind w:left="0"/>
              <w:rPr>
                <w:rFonts w:cs="Times New Roman"/>
              </w:rPr>
            </w:pPr>
            <w:r w:rsidRPr="007263E1">
              <w:rPr>
                <w:rFonts w:cs="Times New Roman"/>
              </w:rPr>
              <w:t>100</w:t>
            </w:r>
          </w:p>
        </w:tc>
      </w:tr>
      <w:tr w:rsidR="00821F9B" w:rsidRPr="007263E1" w14:paraId="026BD72E" w14:textId="77777777" w:rsidTr="00821F9B">
        <w:tc>
          <w:tcPr>
            <w:tcW w:w="2340" w:type="dxa"/>
          </w:tcPr>
          <w:p w14:paraId="69645545" w14:textId="77777777" w:rsidR="00821F9B" w:rsidRPr="007263E1" w:rsidRDefault="00821F9B" w:rsidP="00821F9B">
            <w:pPr>
              <w:pStyle w:val="ListParagraph"/>
              <w:ind w:left="0"/>
              <w:jc w:val="both"/>
              <w:rPr>
                <w:rFonts w:cs="Times New Roman"/>
              </w:rPr>
            </w:pPr>
            <w:r w:rsidRPr="007263E1">
              <w:rPr>
                <w:rFonts w:cs="Times New Roman"/>
              </w:rPr>
              <w:t>Dead</w:t>
            </w:r>
          </w:p>
        </w:tc>
        <w:tc>
          <w:tcPr>
            <w:tcW w:w="1080" w:type="dxa"/>
          </w:tcPr>
          <w:p w14:paraId="49281B20" w14:textId="77777777" w:rsidR="00821F9B" w:rsidRPr="007263E1" w:rsidRDefault="00821F9B" w:rsidP="00821F9B">
            <w:pPr>
              <w:pStyle w:val="ListParagraph"/>
              <w:ind w:left="0"/>
              <w:rPr>
                <w:rFonts w:cs="Times New Roman"/>
              </w:rPr>
            </w:pPr>
            <w:r w:rsidRPr="007263E1">
              <w:rPr>
                <w:rFonts w:cs="Times New Roman"/>
              </w:rPr>
              <w:t>46</w:t>
            </w:r>
          </w:p>
        </w:tc>
        <w:tc>
          <w:tcPr>
            <w:tcW w:w="810" w:type="dxa"/>
          </w:tcPr>
          <w:p w14:paraId="22A56A0D" w14:textId="77777777" w:rsidR="00821F9B" w:rsidRPr="007263E1" w:rsidRDefault="00821F9B" w:rsidP="00821F9B">
            <w:pPr>
              <w:pStyle w:val="ListParagraph"/>
              <w:ind w:left="0"/>
              <w:rPr>
                <w:rFonts w:cs="Times New Roman"/>
              </w:rPr>
            </w:pPr>
            <w:r w:rsidRPr="007263E1">
              <w:rPr>
                <w:rFonts w:cs="Times New Roman"/>
              </w:rPr>
              <w:t>48.4</w:t>
            </w:r>
          </w:p>
        </w:tc>
        <w:tc>
          <w:tcPr>
            <w:tcW w:w="1080" w:type="dxa"/>
          </w:tcPr>
          <w:p w14:paraId="3EE23CE1" w14:textId="77777777" w:rsidR="00821F9B" w:rsidRPr="007263E1" w:rsidRDefault="00821F9B" w:rsidP="00821F9B">
            <w:pPr>
              <w:pStyle w:val="ListParagraph"/>
              <w:ind w:left="0"/>
              <w:rPr>
                <w:rFonts w:cs="Times New Roman"/>
              </w:rPr>
            </w:pPr>
            <w:r w:rsidRPr="007263E1">
              <w:rPr>
                <w:rFonts w:cs="Times New Roman"/>
              </w:rPr>
              <w:t>49</w:t>
            </w:r>
          </w:p>
        </w:tc>
        <w:tc>
          <w:tcPr>
            <w:tcW w:w="810" w:type="dxa"/>
          </w:tcPr>
          <w:p w14:paraId="08465A82" w14:textId="77777777" w:rsidR="00821F9B" w:rsidRPr="007263E1" w:rsidRDefault="00821F9B" w:rsidP="00821F9B">
            <w:pPr>
              <w:pStyle w:val="ListParagraph"/>
              <w:ind w:left="0"/>
              <w:rPr>
                <w:rFonts w:cs="Times New Roman"/>
              </w:rPr>
            </w:pPr>
            <w:r w:rsidRPr="007263E1">
              <w:rPr>
                <w:rFonts w:cs="Times New Roman"/>
              </w:rPr>
              <w:t>51.6</w:t>
            </w:r>
          </w:p>
        </w:tc>
        <w:tc>
          <w:tcPr>
            <w:tcW w:w="1170" w:type="dxa"/>
          </w:tcPr>
          <w:p w14:paraId="0E0AEDBE" w14:textId="77777777" w:rsidR="00821F9B" w:rsidRPr="007263E1" w:rsidRDefault="00821F9B" w:rsidP="00821F9B">
            <w:pPr>
              <w:pStyle w:val="ListParagraph"/>
              <w:ind w:left="0"/>
              <w:rPr>
                <w:rFonts w:cs="Times New Roman"/>
              </w:rPr>
            </w:pPr>
            <w:r w:rsidRPr="007263E1">
              <w:rPr>
                <w:rFonts w:cs="Times New Roman"/>
              </w:rPr>
              <w:t>95</w:t>
            </w:r>
          </w:p>
        </w:tc>
        <w:tc>
          <w:tcPr>
            <w:tcW w:w="900" w:type="dxa"/>
          </w:tcPr>
          <w:p w14:paraId="544F548F" w14:textId="77777777" w:rsidR="00821F9B" w:rsidRPr="007263E1" w:rsidRDefault="00821F9B" w:rsidP="00821F9B">
            <w:pPr>
              <w:pStyle w:val="ListParagraph"/>
              <w:ind w:left="0"/>
              <w:rPr>
                <w:rFonts w:cs="Times New Roman"/>
              </w:rPr>
            </w:pPr>
            <w:r w:rsidRPr="007263E1">
              <w:rPr>
                <w:rFonts w:cs="Times New Roman"/>
              </w:rPr>
              <w:t>100</w:t>
            </w:r>
          </w:p>
        </w:tc>
      </w:tr>
      <w:tr w:rsidR="00821F9B" w:rsidRPr="007263E1" w14:paraId="0765AC6C" w14:textId="77777777" w:rsidTr="00821F9B">
        <w:tc>
          <w:tcPr>
            <w:tcW w:w="2340" w:type="dxa"/>
          </w:tcPr>
          <w:p w14:paraId="7E2AC265" w14:textId="77777777" w:rsidR="00821F9B" w:rsidRPr="007263E1" w:rsidRDefault="00821F9B" w:rsidP="00821F9B">
            <w:pPr>
              <w:pStyle w:val="ListParagraph"/>
              <w:ind w:left="0"/>
              <w:jc w:val="both"/>
              <w:rPr>
                <w:rFonts w:cs="Times New Roman"/>
              </w:rPr>
            </w:pPr>
            <w:r w:rsidRPr="007263E1">
              <w:rPr>
                <w:rFonts w:cs="Times New Roman"/>
              </w:rPr>
              <w:t>Forced discharge</w:t>
            </w:r>
          </w:p>
        </w:tc>
        <w:tc>
          <w:tcPr>
            <w:tcW w:w="1080" w:type="dxa"/>
          </w:tcPr>
          <w:p w14:paraId="49708FDC" w14:textId="77777777" w:rsidR="00821F9B" w:rsidRPr="007263E1" w:rsidRDefault="00821F9B" w:rsidP="00821F9B">
            <w:pPr>
              <w:pStyle w:val="ListParagraph"/>
              <w:ind w:left="0"/>
              <w:rPr>
                <w:rFonts w:cs="Times New Roman"/>
              </w:rPr>
            </w:pPr>
            <w:r w:rsidRPr="007263E1">
              <w:rPr>
                <w:rFonts w:cs="Times New Roman"/>
              </w:rPr>
              <w:t>0</w:t>
            </w:r>
          </w:p>
        </w:tc>
        <w:tc>
          <w:tcPr>
            <w:tcW w:w="810" w:type="dxa"/>
          </w:tcPr>
          <w:p w14:paraId="7E4BBC5E" w14:textId="77777777" w:rsidR="00821F9B" w:rsidRPr="007263E1" w:rsidRDefault="00821F9B" w:rsidP="00821F9B">
            <w:pPr>
              <w:pStyle w:val="ListParagraph"/>
              <w:ind w:left="0"/>
              <w:rPr>
                <w:rFonts w:cs="Times New Roman"/>
              </w:rPr>
            </w:pPr>
            <w:r w:rsidRPr="007263E1">
              <w:rPr>
                <w:rFonts w:cs="Times New Roman"/>
              </w:rPr>
              <w:t>0</w:t>
            </w:r>
          </w:p>
        </w:tc>
        <w:tc>
          <w:tcPr>
            <w:tcW w:w="1080" w:type="dxa"/>
          </w:tcPr>
          <w:p w14:paraId="3A864CFF" w14:textId="77777777" w:rsidR="00821F9B" w:rsidRPr="007263E1" w:rsidRDefault="00821F9B" w:rsidP="00821F9B">
            <w:pPr>
              <w:pStyle w:val="ListParagraph"/>
              <w:ind w:left="0"/>
              <w:rPr>
                <w:rFonts w:cs="Times New Roman"/>
              </w:rPr>
            </w:pPr>
            <w:r w:rsidRPr="007263E1">
              <w:rPr>
                <w:rFonts w:cs="Times New Roman"/>
              </w:rPr>
              <w:t>15</w:t>
            </w:r>
          </w:p>
        </w:tc>
        <w:tc>
          <w:tcPr>
            <w:tcW w:w="810" w:type="dxa"/>
          </w:tcPr>
          <w:p w14:paraId="4D44AD60" w14:textId="77777777" w:rsidR="00821F9B" w:rsidRPr="007263E1" w:rsidRDefault="00821F9B" w:rsidP="00821F9B">
            <w:pPr>
              <w:pStyle w:val="ListParagraph"/>
              <w:ind w:left="0"/>
              <w:rPr>
                <w:rFonts w:cs="Times New Roman"/>
              </w:rPr>
            </w:pPr>
            <w:r w:rsidRPr="007263E1">
              <w:rPr>
                <w:rFonts w:cs="Times New Roman"/>
              </w:rPr>
              <w:t>100</w:t>
            </w:r>
          </w:p>
        </w:tc>
        <w:tc>
          <w:tcPr>
            <w:tcW w:w="1170" w:type="dxa"/>
          </w:tcPr>
          <w:p w14:paraId="5EBC1470" w14:textId="77777777" w:rsidR="00821F9B" w:rsidRPr="007263E1" w:rsidRDefault="00821F9B" w:rsidP="00821F9B">
            <w:pPr>
              <w:pStyle w:val="ListParagraph"/>
              <w:ind w:left="0"/>
              <w:rPr>
                <w:rFonts w:cs="Times New Roman"/>
              </w:rPr>
            </w:pPr>
            <w:r w:rsidRPr="007263E1">
              <w:rPr>
                <w:rFonts w:cs="Times New Roman"/>
              </w:rPr>
              <w:t>15</w:t>
            </w:r>
          </w:p>
        </w:tc>
        <w:tc>
          <w:tcPr>
            <w:tcW w:w="900" w:type="dxa"/>
          </w:tcPr>
          <w:p w14:paraId="70690159" w14:textId="77777777" w:rsidR="00821F9B" w:rsidRPr="007263E1" w:rsidRDefault="00821F9B" w:rsidP="00821F9B">
            <w:pPr>
              <w:pStyle w:val="ListParagraph"/>
              <w:ind w:left="0"/>
              <w:rPr>
                <w:rFonts w:cs="Times New Roman"/>
              </w:rPr>
            </w:pPr>
            <w:r w:rsidRPr="007263E1">
              <w:rPr>
                <w:rFonts w:cs="Times New Roman"/>
              </w:rPr>
              <w:t>100</w:t>
            </w:r>
          </w:p>
        </w:tc>
      </w:tr>
      <w:tr w:rsidR="00821F9B" w:rsidRPr="007263E1" w14:paraId="6244D628" w14:textId="77777777" w:rsidTr="00821F9B">
        <w:tc>
          <w:tcPr>
            <w:tcW w:w="2340" w:type="dxa"/>
          </w:tcPr>
          <w:p w14:paraId="62944CBA" w14:textId="77777777" w:rsidR="00821F9B" w:rsidRPr="007263E1" w:rsidRDefault="00821F9B" w:rsidP="00821F9B">
            <w:pPr>
              <w:pStyle w:val="ListParagraph"/>
              <w:ind w:left="0"/>
              <w:jc w:val="both"/>
              <w:rPr>
                <w:rFonts w:cs="Times New Roman"/>
              </w:rPr>
            </w:pPr>
            <w:r w:rsidRPr="007263E1">
              <w:rPr>
                <w:rFonts w:cs="Times New Roman"/>
              </w:rPr>
              <w:t xml:space="preserve">Total </w:t>
            </w:r>
          </w:p>
        </w:tc>
        <w:tc>
          <w:tcPr>
            <w:tcW w:w="1080" w:type="dxa"/>
          </w:tcPr>
          <w:p w14:paraId="6E505CD3" w14:textId="77777777" w:rsidR="00821F9B" w:rsidRPr="007263E1" w:rsidRDefault="00821F9B" w:rsidP="00821F9B">
            <w:pPr>
              <w:pStyle w:val="ListParagraph"/>
              <w:ind w:left="0"/>
              <w:rPr>
                <w:rFonts w:cs="Times New Roman"/>
              </w:rPr>
            </w:pPr>
            <w:r w:rsidRPr="007263E1">
              <w:rPr>
                <w:rFonts w:cs="Times New Roman"/>
              </w:rPr>
              <w:t>96</w:t>
            </w:r>
          </w:p>
        </w:tc>
        <w:tc>
          <w:tcPr>
            <w:tcW w:w="810" w:type="dxa"/>
          </w:tcPr>
          <w:p w14:paraId="1C060204" w14:textId="77777777" w:rsidR="00821F9B" w:rsidRPr="007263E1" w:rsidRDefault="00821F9B" w:rsidP="00821F9B">
            <w:pPr>
              <w:pStyle w:val="ListParagraph"/>
              <w:ind w:left="0"/>
              <w:rPr>
                <w:rFonts w:cs="Times New Roman"/>
              </w:rPr>
            </w:pPr>
            <w:r w:rsidRPr="007263E1">
              <w:rPr>
                <w:rFonts w:cs="Times New Roman"/>
              </w:rPr>
              <w:t>14.4</w:t>
            </w:r>
          </w:p>
        </w:tc>
        <w:tc>
          <w:tcPr>
            <w:tcW w:w="1080" w:type="dxa"/>
          </w:tcPr>
          <w:p w14:paraId="2D881491" w14:textId="77777777" w:rsidR="00821F9B" w:rsidRPr="007263E1" w:rsidRDefault="00821F9B" w:rsidP="00821F9B">
            <w:pPr>
              <w:pStyle w:val="ListParagraph"/>
              <w:ind w:left="0"/>
              <w:rPr>
                <w:rFonts w:cs="Times New Roman"/>
              </w:rPr>
            </w:pPr>
            <w:r w:rsidRPr="007263E1">
              <w:rPr>
                <w:rFonts w:cs="Times New Roman"/>
              </w:rPr>
              <w:t>569</w:t>
            </w:r>
          </w:p>
        </w:tc>
        <w:tc>
          <w:tcPr>
            <w:tcW w:w="810" w:type="dxa"/>
          </w:tcPr>
          <w:p w14:paraId="5889D298" w14:textId="77777777" w:rsidR="00821F9B" w:rsidRPr="007263E1" w:rsidRDefault="00821F9B" w:rsidP="00821F9B">
            <w:pPr>
              <w:pStyle w:val="ListParagraph"/>
              <w:ind w:left="0"/>
              <w:rPr>
                <w:rFonts w:cs="Times New Roman"/>
              </w:rPr>
            </w:pPr>
            <w:r w:rsidRPr="007263E1">
              <w:rPr>
                <w:rFonts w:cs="Times New Roman"/>
              </w:rPr>
              <w:t>85.6</w:t>
            </w:r>
          </w:p>
        </w:tc>
        <w:tc>
          <w:tcPr>
            <w:tcW w:w="1170" w:type="dxa"/>
          </w:tcPr>
          <w:p w14:paraId="3A60FBD8" w14:textId="77777777" w:rsidR="00821F9B" w:rsidRPr="007263E1" w:rsidRDefault="00821F9B" w:rsidP="00821F9B">
            <w:pPr>
              <w:pStyle w:val="ListParagraph"/>
              <w:ind w:left="0"/>
              <w:rPr>
                <w:rFonts w:cs="Times New Roman"/>
              </w:rPr>
            </w:pPr>
            <w:r w:rsidRPr="007263E1">
              <w:rPr>
                <w:rFonts w:cs="Times New Roman"/>
              </w:rPr>
              <w:t>665</w:t>
            </w:r>
          </w:p>
        </w:tc>
        <w:tc>
          <w:tcPr>
            <w:tcW w:w="900" w:type="dxa"/>
          </w:tcPr>
          <w:p w14:paraId="35AA5327" w14:textId="77777777" w:rsidR="00821F9B" w:rsidRPr="007263E1" w:rsidRDefault="00821F9B" w:rsidP="00821F9B">
            <w:pPr>
              <w:pStyle w:val="ListParagraph"/>
              <w:ind w:left="0"/>
              <w:rPr>
                <w:rFonts w:cs="Times New Roman"/>
              </w:rPr>
            </w:pPr>
            <w:r w:rsidRPr="007263E1">
              <w:rPr>
                <w:rFonts w:cs="Times New Roman"/>
              </w:rPr>
              <w:t>100</w:t>
            </w:r>
          </w:p>
        </w:tc>
      </w:tr>
    </w:tbl>
    <w:p w14:paraId="05D8B851" w14:textId="77777777" w:rsidR="00821F9B" w:rsidRPr="007263E1" w:rsidRDefault="00821F9B" w:rsidP="00821F9B">
      <w:pPr>
        <w:pStyle w:val="ListParagraph"/>
        <w:spacing w:line="360" w:lineRule="auto"/>
        <w:jc w:val="both"/>
        <w:rPr>
          <w:rFonts w:ascii="Times New Roman" w:hAnsi="Times New Roman" w:cs="Times New Roman"/>
        </w:rPr>
      </w:pPr>
    </w:p>
    <w:p w14:paraId="6623B199" w14:textId="77777777" w:rsidR="005465FC" w:rsidRDefault="005465FC" w:rsidP="00631AE2">
      <w:pPr>
        <w:jc w:val="both"/>
        <w:rPr>
          <w:rFonts w:ascii="Times New Roman" w:hAnsi="Times New Roman" w:cs="Times New Roman"/>
        </w:rPr>
      </w:pPr>
    </w:p>
    <w:p w14:paraId="026120F0" w14:textId="77777777" w:rsidR="00837F78" w:rsidRPr="007263E1" w:rsidRDefault="00837F78" w:rsidP="00631AE2">
      <w:pPr>
        <w:jc w:val="both"/>
        <w:rPr>
          <w:rFonts w:ascii="Times New Roman" w:hAnsi="Times New Roman" w:cs="Times New Roman"/>
        </w:rPr>
      </w:pPr>
      <w:r w:rsidRPr="007263E1">
        <w:rPr>
          <w:rFonts w:ascii="Times New Roman" w:hAnsi="Times New Roman" w:cs="Times New Roman"/>
        </w:rPr>
        <w:t>Figure 7:</w:t>
      </w:r>
    </w:p>
    <w:p w14:paraId="63394F4F" w14:textId="77777777" w:rsidR="00837F78" w:rsidRPr="007263E1" w:rsidRDefault="00837F78" w:rsidP="00631AE2">
      <w:pPr>
        <w:jc w:val="both"/>
        <w:rPr>
          <w:rFonts w:ascii="Times New Roman" w:hAnsi="Times New Roman" w:cs="Times New Roman"/>
        </w:rPr>
      </w:pPr>
    </w:p>
    <w:p w14:paraId="28A4656A" w14:textId="77777777" w:rsidR="00837F78" w:rsidRPr="007263E1" w:rsidRDefault="00837F78" w:rsidP="00837F78">
      <w:pPr>
        <w:rPr>
          <w:rFonts w:ascii="Times New Roman" w:hAnsi="Times New Roman" w:cs="Times New Roman"/>
        </w:rPr>
      </w:pPr>
      <w:r w:rsidRPr="007263E1">
        <w:rPr>
          <w:rFonts w:ascii="Times New Roman" w:hAnsi="Times New Roman" w:cs="Times New Roman"/>
          <w:noProof/>
        </w:rPr>
        <w:drawing>
          <wp:inline distT="0" distB="0" distL="0" distR="0" wp14:anchorId="01F5FF5B" wp14:editId="5551FF87">
            <wp:extent cx="4810125" cy="2886075"/>
            <wp:effectExtent l="19050" t="0" r="9525" b="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D36A93" w14:textId="77777777" w:rsidR="00837F78" w:rsidRPr="007263E1" w:rsidRDefault="00837F78" w:rsidP="00631AE2">
      <w:pPr>
        <w:jc w:val="both"/>
        <w:rPr>
          <w:rFonts w:ascii="Times New Roman" w:hAnsi="Times New Roman" w:cs="Times New Roman"/>
        </w:rPr>
      </w:pPr>
      <w:r w:rsidRPr="007263E1">
        <w:rPr>
          <w:rFonts w:ascii="Times New Roman" w:hAnsi="Times New Roman" w:cs="Times New Roman"/>
        </w:rPr>
        <w:lastRenderedPageBreak/>
        <w:t>Figure 8:</w:t>
      </w:r>
    </w:p>
    <w:p w14:paraId="5AAC65CA" w14:textId="77777777" w:rsidR="00837F78" w:rsidRPr="007263E1" w:rsidRDefault="00837F78" w:rsidP="00631AE2">
      <w:pPr>
        <w:jc w:val="both"/>
        <w:rPr>
          <w:rFonts w:ascii="Times New Roman" w:hAnsi="Times New Roman" w:cs="Times New Roman"/>
        </w:rPr>
      </w:pPr>
    </w:p>
    <w:p w14:paraId="22C9CECD" w14:textId="77777777" w:rsidR="00837F78" w:rsidRPr="007263E1" w:rsidRDefault="00837F78" w:rsidP="00837F78">
      <w:pPr>
        <w:rPr>
          <w:rFonts w:ascii="Times New Roman" w:hAnsi="Times New Roman" w:cs="Times New Roman"/>
        </w:rPr>
      </w:pPr>
      <w:r w:rsidRPr="007263E1">
        <w:rPr>
          <w:rFonts w:ascii="Times New Roman" w:hAnsi="Times New Roman" w:cs="Times New Roman"/>
          <w:noProof/>
        </w:rPr>
        <w:drawing>
          <wp:inline distT="0" distB="0" distL="0" distR="0" wp14:anchorId="45C4C419" wp14:editId="28A3CCB3">
            <wp:extent cx="4876801" cy="2867025"/>
            <wp:effectExtent l="19050" t="0" r="19049"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0F4ED6" w14:textId="77777777" w:rsidR="00837F78" w:rsidRPr="007263E1" w:rsidRDefault="00837F78" w:rsidP="00631AE2">
      <w:pPr>
        <w:jc w:val="both"/>
        <w:rPr>
          <w:rFonts w:ascii="Times New Roman" w:hAnsi="Times New Roman" w:cs="Times New Roman"/>
        </w:rPr>
      </w:pPr>
    </w:p>
    <w:p w14:paraId="6D5042B4" w14:textId="77777777" w:rsidR="00837F78" w:rsidRPr="007263E1" w:rsidRDefault="00837F78" w:rsidP="00631AE2">
      <w:pPr>
        <w:jc w:val="both"/>
        <w:rPr>
          <w:rFonts w:ascii="Times New Roman" w:hAnsi="Times New Roman" w:cs="Times New Roman"/>
        </w:rPr>
      </w:pPr>
    </w:p>
    <w:p w14:paraId="3B1BE0DD" w14:textId="77777777" w:rsidR="006518BF" w:rsidRPr="007263E1" w:rsidRDefault="006518BF" w:rsidP="00631AE2">
      <w:pPr>
        <w:jc w:val="both"/>
        <w:rPr>
          <w:rFonts w:ascii="Times New Roman" w:hAnsi="Times New Roman" w:cs="Times New Roman"/>
        </w:rPr>
      </w:pPr>
      <w:r w:rsidRPr="007263E1">
        <w:rPr>
          <w:rFonts w:ascii="Times New Roman" w:hAnsi="Times New Roman" w:cs="Times New Roman"/>
        </w:rPr>
        <w:t>Figure 9:</w:t>
      </w:r>
    </w:p>
    <w:p w14:paraId="378E404C" w14:textId="77777777" w:rsidR="006518BF" w:rsidRPr="007263E1" w:rsidRDefault="006518BF" w:rsidP="00631AE2">
      <w:pPr>
        <w:jc w:val="both"/>
        <w:rPr>
          <w:rFonts w:ascii="Times New Roman" w:hAnsi="Times New Roman" w:cs="Times New Roman"/>
        </w:rPr>
      </w:pPr>
    </w:p>
    <w:p w14:paraId="67457E6C" w14:textId="77777777" w:rsidR="006518BF" w:rsidRPr="007263E1" w:rsidRDefault="006518BF" w:rsidP="00A6445C">
      <w:pPr>
        <w:rPr>
          <w:rFonts w:ascii="Times New Roman" w:hAnsi="Times New Roman" w:cs="Times New Roman"/>
        </w:rPr>
      </w:pPr>
      <w:r w:rsidRPr="007263E1">
        <w:rPr>
          <w:rFonts w:ascii="Times New Roman" w:hAnsi="Times New Roman" w:cs="Times New Roman"/>
          <w:noProof/>
        </w:rPr>
        <w:drawing>
          <wp:inline distT="0" distB="0" distL="0" distR="0" wp14:anchorId="2EF0ABCC" wp14:editId="61FB707F">
            <wp:extent cx="4876800" cy="28575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0FD4C4" w14:textId="77777777" w:rsidR="006518BF" w:rsidRPr="007263E1" w:rsidRDefault="006518BF" w:rsidP="00631AE2">
      <w:pPr>
        <w:jc w:val="both"/>
        <w:rPr>
          <w:rFonts w:ascii="Times New Roman" w:hAnsi="Times New Roman" w:cs="Times New Roman"/>
        </w:rPr>
      </w:pPr>
    </w:p>
    <w:p w14:paraId="2A6253BF" w14:textId="77777777" w:rsidR="006518BF" w:rsidRDefault="006518BF" w:rsidP="00631AE2">
      <w:pPr>
        <w:jc w:val="both"/>
        <w:rPr>
          <w:rFonts w:ascii="Times New Roman" w:hAnsi="Times New Roman" w:cs="Times New Roman"/>
        </w:rPr>
      </w:pPr>
    </w:p>
    <w:p w14:paraId="193399A2" w14:textId="77777777" w:rsidR="005465FC" w:rsidRDefault="005465FC" w:rsidP="005465FC">
      <w:pPr>
        <w:jc w:val="both"/>
        <w:rPr>
          <w:rFonts w:ascii="Times New Roman" w:hAnsi="Times New Roman" w:cs="Times New Roman"/>
        </w:rPr>
        <w:sectPr w:rsidR="005465FC" w:rsidSect="00B50CA1">
          <w:type w:val="continuous"/>
          <w:pgSz w:w="11907" w:h="16839" w:code="9"/>
          <w:pgMar w:top="1440" w:right="1440" w:bottom="1440" w:left="1440" w:header="720" w:footer="720" w:gutter="0"/>
          <w:cols w:space="720"/>
          <w:docGrid w:linePitch="360"/>
        </w:sectPr>
      </w:pPr>
    </w:p>
    <w:p w14:paraId="6B99AE1F" w14:textId="77777777" w:rsidR="005465FC" w:rsidRPr="007263E1" w:rsidRDefault="005465FC" w:rsidP="005465FC">
      <w:pPr>
        <w:jc w:val="both"/>
        <w:rPr>
          <w:rFonts w:ascii="Times New Roman" w:hAnsi="Times New Roman" w:cs="Times New Roman"/>
        </w:rPr>
      </w:pPr>
      <w:r w:rsidRPr="007263E1">
        <w:rPr>
          <w:rFonts w:ascii="Times New Roman" w:hAnsi="Times New Roman" w:cs="Times New Roman"/>
        </w:rPr>
        <w:lastRenderedPageBreak/>
        <w:t xml:space="preserve">Distribution of pattern of germs on swab culture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 for the last 5 years shows that, in each year, pseudomonas is a kind of bacteria that mostly found in swab culture of burn patient treated in burn unit. MRSA cases in 2011 were not found, but in G ward always founded in each year. (</w:t>
      </w:r>
      <w:proofErr w:type="gramStart"/>
      <w:r w:rsidRPr="007263E1">
        <w:rPr>
          <w:rFonts w:ascii="Times New Roman" w:hAnsi="Times New Roman" w:cs="Times New Roman"/>
        </w:rPr>
        <w:t>figure</w:t>
      </w:r>
      <w:proofErr w:type="gramEnd"/>
      <w:r w:rsidRPr="007263E1">
        <w:rPr>
          <w:rFonts w:ascii="Times New Roman" w:hAnsi="Times New Roman" w:cs="Times New Roman"/>
        </w:rPr>
        <w:t xml:space="preserve"> 7).</w:t>
      </w:r>
    </w:p>
    <w:p w14:paraId="01B9C60A" w14:textId="77777777" w:rsidR="005465FC" w:rsidRDefault="005465FC" w:rsidP="005465FC">
      <w:pPr>
        <w:jc w:val="both"/>
        <w:rPr>
          <w:rFonts w:ascii="Times New Roman" w:hAnsi="Times New Roman" w:cs="Times New Roman"/>
        </w:rPr>
      </w:pPr>
      <w:r w:rsidRPr="007263E1">
        <w:rPr>
          <w:rFonts w:ascii="Times New Roman" w:hAnsi="Times New Roman" w:cs="Times New Roman"/>
        </w:rPr>
        <w:t xml:space="preserve">Distribution of antibiotic sensitivity on pseudomonas in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General Hospital for the last 5 years shows that, in </w:t>
      </w:r>
      <w:r w:rsidRPr="007263E1">
        <w:rPr>
          <w:rFonts w:ascii="Times New Roman" w:hAnsi="Times New Roman" w:cs="Times New Roman"/>
        </w:rPr>
        <w:lastRenderedPageBreak/>
        <w:t xml:space="preserve">each year pseudomonas was sensitive to </w:t>
      </w:r>
      <w:proofErr w:type="spellStart"/>
      <w:r w:rsidRPr="007263E1">
        <w:rPr>
          <w:rFonts w:ascii="Times New Roman" w:hAnsi="Times New Roman" w:cs="Times New Roman"/>
        </w:rPr>
        <w:t>amikacin</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ceftazidim</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meropenem</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cefoperazon-sulbactam</w:t>
      </w:r>
      <w:proofErr w:type="spellEnd"/>
      <w:r w:rsidRPr="007263E1">
        <w:rPr>
          <w:rFonts w:ascii="Times New Roman" w:hAnsi="Times New Roman" w:cs="Times New Roman"/>
        </w:rPr>
        <w:t xml:space="preserve">, </w:t>
      </w:r>
      <w:r w:rsidR="006634C1">
        <w:rPr>
          <w:rFonts w:ascii="Times New Roman" w:hAnsi="Times New Roman" w:cs="Times New Roman"/>
        </w:rPr>
        <w:t xml:space="preserve">     </w:t>
      </w:r>
      <w:r w:rsidRPr="007263E1">
        <w:rPr>
          <w:rFonts w:ascii="Times New Roman" w:hAnsi="Times New Roman" w:cs="Times New Roman"/>
        </w:rPr>
        <w:t xml:space="preserve">and </w:t>
      </w:r>
      <w:r w:rsidR="006634C1">
        <w:rPr>
          <w:rFonts w:ascii="Times New Roman" w:hAnsi="Times New Roman" w:cs="Times New Roman"/>
        </w:rPr>
        <w:t xml:space="preserve">      </w:t>
      </w:r>
      <w:proofErr w:type="spellStart"/>
      <w:r w:rsidRPr="007263E1">
        <w:rPr>
          <w:rFonts w:ascii="Times New Roman" w:hAnsi="Times New Roman" w:cs="Times New Roman"/>
        </w:rPr>
        <w:t>cefepim</w:t>
      </w:r>
      <w:proofErr w:type="spellEnd"/>
      <w:r w:rsidRPr="007263E1">
        <w:rPr>
          <w:rFonts w:ascii="Times New Roman" w:hAnsi="Times New Roman" w:cs="Times New Roman"/>
        </w:rPr>
        <w:t>.</w:t>
      </w:r>
    </w:p>
    <w:p w14:paraId="4EEF1AF7" w14:textId="77777777" w:rsidR="005465FC" w:rsidRPr="007263E1" w:rsidRDefault="005465FC" w:rsidP="005465FC">
      <w:pPr>
        <w:jc w:val="both"/>
        <w:rPr>
          <w:rFonts w:ascii="Times New Roman" w:hAnsi="Times New Roman" w:cs="Times New Roman"/>
        </w:rPr>
      </w:pPr>
      <w:r w:rsidRPr="007263E1">
        <w:rPr>
          <w:rFonts w:ascii="Times New Roman" w:hAnsi="Times New Roman" w:cs="Times New Roman"/>
        </w:rPr>
        <w:t>(</w:t>
      </w:r>
      <w:proofErr w:type="gramStart"/>
      <w:r w:rsidRPr="007263E1">
        <w:rPr>
          <w:rFonts w:ascii="Times New Roman" w:hAnsi="Times New Roman" w:cs="Times New Roman"/>
        </w:rPr>
        <w:t>figure</w:t>
      </w:r>
      <w:proofErr w:type="gramEnd"/>
      <w:r w:rsidRPr="007263E1">
        <w:rPr>
          <w:rFonts w:ascii="Times New Roman" w:hAnsi="Times New Roman" w:cs="Times New Roman"/>
        </w:rPr>
        <w:t xml:space="preserve"> 8).</w:t>
      </w:r>
    </w:p>
    <w:p w14:paraId="45EA4B73" w14:textId="77777777" w:rsidR="005465FC" w:rsidRDefault="005465FC" w:rsidP="005465FC">
      <w:pPr>
        <w:jc w:val="both"/>
        <w:rPr>
          <w:rFonts w:ascii="Times New Roman" w:hAnsi="Times New Roman" w:cs="Times New Roman"/>
        </w:rPr>
      </w:pPr>
      <w:r w:rsidRPr="007263E1">
        <w:rPr>
          <w:rFonts w:ascii="Times New Roman" w:hAnsi="Times New Roman" w:cs="Times New Roman"/>
        </w:rPr>
        <w:t xml:space="preserve">Figure 9 show distribution of antibiotic resistance of pseudomonas in burn unit of hospital of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for the last 5 years shows that each year, pseudomonas has shown its resistance to kind of antibiotics  </w:t>
      </w:r>
      <w:proofErr w:type="spellStart"/>
      <w:r w:rsidRPr="007263E1">
        <w:rPr>
          <w:rFonts w:ascii="Times New Roman" w:hAnsi="Times New Roman" w:cs="Times New Roman"/>
        </w:rPr>
        <w:t>amoxicilin-clavulanat</w:t>
      </w:r>
      <w:proofErr w:type="spellEnd"/>
      <w:r w:rsidRPr="007263E1">
        <w:rPr>
          <w:rFonts w:ascii="Times New Roman" w:hAnsi="Times New Roman" w:cs="Times New Roman"/>
        </w:rPr>
        <w:t xml:space="preserve">, </w:t>
      </w:r>
      <w:r>
        <w:rPr>
          <w:rFonts w:ascii="Times New Roman" w:hAnsi="Times New Roman" w:cs="Times New Roman"/>
        </w:rPr>
        <w:t xml:space="preserve">      </w:t>
      </w:r>
      <w:proofErr w:type="spellStart"/>
      <w:r w:rsidRPr="007263E1">
        <w:rPr>
          <w:rFonts w:ascii="Times New Roman" w:hAnsi="Times New Roman" w:cs="Times New Roman"/>
        </w:rPr>
        <w:t>corimoxazol</w:t>
      </w:r>
      <w:proofErr w:type="spellEnd"/>
      <w:r w:rsidRPr="007263E1">
        <w:rPr>
          <w:rFonts w:ascii="Times New Roman" w:hAnsi="Times New Roman" w:cs="Times New Roman"/>
        </w:rPr>
        <w:t xml:space="preserve">, </w:t>
      </w:r>
      <w:r>
        <w:rPr>
          <w:rFonts w:ascii="Times New Roman" w:hAnsi="Times New Roman" w:cs="Times New Roman"/>
        </w:rPr>
        <w:t xml:space="preserve">      </w:t>
      </w:r>
      <w:proofErr w:type="spellStart"/>
      <w:r w:rsidRPr="007263E1">
        <w:rPr>
          <w:rFonts w:ascii="Times New Roman" w:hAnsi="Times New Roman" w:cs="Times New Roman"/>
        </w:rPr>
        <w:t>gentamisin</w:t>
      </w:r>
      <w:proofErr w:type="spellEnd"/>
      <w:r w:rsidRPr="007263E1">
        <w:rPr>
          <w:rFonts w:ascii="Times New Roman" w:hAnsi="Times New Roman" w:cs="Times New Roman"/>
        </w:rPr>
        <w:t>,</w:t>
      </w:r>
    </w:p>
    <w:p w14:paraId="485D63D4" w14:textId="77777777" w:rsidR="005465FC" w:rsidRDefault="005465FC" w:rsidP="005465FC">
      <w:pPr>
        <w:jc w:val="left"/>
        <w:rPr>
          <w:rFonts w:ascii="Times New Roman" w:hAnsi="Times New Roman" w:cs="Times New Roman"/>
        </w:rPr>
        <w:sectPr w:rsidR="005465FC" w:rsidSect="005465FC">
          <w:type w:val="continuous"/>
          <w:pgSz w:w="11907" w:h="16839" w:code="9"/>
          <w:pgMar w:top="1440" w:right="1440" w:bottom="1440" w:left="1440" w:header="720" w:footer="720" w:gutter="0"/>
          <w:cols w:num="2" w:space="720"/>
          <w:docGrid w:linePitch="360"/>
        </w:sectPr>
      </w:pPr>
      <w:proofErr w:type="spellStart"/>
      <w:proofErr w:type="gramStart"/>
      <w:r w:rsidRPr="007263E1">
        <w:rPr>
          <w:rFonts w:ascii="Times New Roman" w:hAnsi="Times New Roman" w:cs="Times New Roman"/>
        </w:rPr>
        <w:t>ampisi</w:t>
      </w:r>
      <w:r w:rsidR="00DF7134">
        <w:rPr>
          <w:rFonts w:ascii="Times New Roman" w:hAnsi="Times New Roman" w:cs="Times New Roman"/>
        </w:rPr>
        <w:t>lin</w:t>
      </w:r>
      <w:proofErr w:type="gramEnd"/>
      <w:r w:rsidR="00DF7134">
        <w:rPr>
          <w:rFonts w:ascii="Times New Roman" w:hAnsi="Times New Roman" w:cs="Times New Roman"/>
        </w:rPr>
        <w:t>-sulbactam</w:t>
      </w:r>
      <w:proofErr w:type="spellEnd"/>
      <w:r w:rsidR="00DF7134">
        <w:rPr>
          <w:rFonts w:ascii="Times New Roman" w:hAnsi="Times New Roman" w:cs="Times New Roman"/>
        </w:rPr>
        <w:t xml:space="preserve">, </w:t>
      </w:r>
      <w:r w:rsidRPr="007263E1">
        <w:rPr>
          <w:rFonts w:ascii="Times New Roman" w:hAnsi="Times New Roman" w:cs="Times New Roman"/>
        </w:rPr>
        <w:t>an</w:t>
      </w:r>
      <w:r w:rsidR="00DF7134">
        <w:rPr>
          <w:rFonts w:ascii="Times New Roman" w:hAnsi="Times New Roman" w:cs="Times New Roman"/>
        </w:rPr>
        <w:t>d</w:t>
      </w:r>
      <w:r w:rsidRPr="007263E1">
        <w:rPr>
          <w:rFonts w:ascii="Times New Roman" w:hAnsi="Times New Roman" w:cs="Times New Roman"/>
        </w:rPr>
        <w:t xml:space="preserve"> </w:t>
      </w:r>
      <w:proofErr w:type="spellStart"/>
      <w:r w:rsidRPr="007263E1">
        <w:rPr>
          <w:rFonts w:ascii="Times New Roman" w:hAnsi="Times New Roman" w:cs="Times New Roman"/>
        </w:rPr>
        <w:t>cefotaxim</w:t>
      </w:r>
      <w:proofErr w:type="spellEnd"/>
      <w:r w:rsidRPr="007263E1">
        <w:rPr>
          <w:rFonts w:ascii="Times New Roman" w:hAnsi="Times New Roman" w:cs="Times New Roman"/>
        </w:rPr>
        <w:t>.</w:t>
      </w:r>
    </w:p>
    <w:p w14:paraId="41CB88D1" w14:textId="77777777" w:rsidR="00FF5326" w:rsidRPr="007263E1" w:rsidRDefault="00FF5326" w:rsidP="00FF5326">
      <w:pPr>
        <w:tabs>
          <w:tab w:val="left" w:pos="7410"/>
        </w:tabs>
        <w:jc w:val="both"/>
        <w:rPr>
          <w:rFonts w:ascii="Times New Roman" w:hAnsi="Times New Roman" w:cs="Times New Roman"/>
          <w:b/>
        </w:rPr>
      </w:pPr>
      <w:r w:rsidRPr="007263E1">
        <w:rPr>
          <w:rFonts w:ascii="Times New Roman" w:hAnsi="Times New Roman" w:cs="Times New Roman"/>
          <w:b/>
        </w:rPr>
        <w:lastRenderedPageBreak/>
        <w:t>DISCUSSION</w:t>
      </w:r>
    </w:p>
    <w:p w14:paraId="384C9ABC" w14:textId="77777777" w:rsidR="00FF5326" w:rsidRPr="007263E1" w:rsidRDefault="00FF5326" w:rsidP="00FF5326">
      <w:pPr>
        <w:tabs>
          <w:tab w:val="left" w:pos="7410"/>
        </w:tabs>
        <w:jc w:val="both"/>
        <w:rPr>
          <w:rFonts w:ascii="Times New Roman" w:hAnsi="Times New Roman" w:cs="Times New Roman"/>
        </w:rPr>
      </w:pPr>
    </w:p>
    <w:p w14:paraId="6DD8EBD8" w14:textId="77777777" w:rsidR="00FF5326" w:rsidRPr="007263E1" w:rsidRDefault="00FF5326" w:rsidP="00FF5326">
      <w:pPr>
        <w:jc w:val="both"/>
        <w:rPr>
          <w:rFonts w:ascii="Times New Roman" w:hAnsi="Times New Roman" w:cs="Times New Roman"/>
        </w:rPr>
      </w:pPr>
      <w:r w:rsidRPr="007263E1">
        <w:rPr>
          <w:rFonts w:ascii="Times New Roman" w:hAnsi="Times New Roman" w:cs="Times New Roman"/>
        </w:rPr>
        <w:t xml:space="preserve">The epidemiology of burns is varying from one region to another. It is mostly influence by the development of science and technology, industry and culture in each region. This research shows the percentage of increment and decrement of mortality rate during the last 5 years compare to year 2002 (32.2%), which </w:t>
      </w:r>
      <w:proofErr w:type="spellStart"/>
      <w:r w:rsidRPr="007263E1">
        <w:rPr>
          <w:rFonts w:ascii="Times New Roman" w:hAnsi="Times New Roman" w:cs="Times New Roman"/>
        </w:rPr>
        <w:t>originaly</w:t>
      </w:r>
      <w:proofErr w:type="spellEnd"/>
      <w:r w:rsidRPr="007263E1">
        <w:rPr>
          <w:rFonts w:ascii="Times New Roman" w:hAnsi="Times New Roman" w:cs="Times New Roman"/>
        </w:rPr>
        <w:t xml:space="preserve"> year 2007 shows 11.38%, increase to 15.1% in the year of 2008, year 2009 shows</w:t>
      </w:r>
      <w:r w:rsidR="00F954AB">
        <w:rPr>
          <w:rFonts w:ascii="Times New Roman" w:hAnsi="Times New Roman" w:cs="Times New Roman"/>
        </w:rPr>
        <w:t xml:space="preserve"> 1</w:t>
      </w:r>
      <w:r w:rsidRPr="007263E1">
        <w:rPr>
          <w:rFonts w:ascii="Times New Roman" w:hAnsi="Times New Roman" w:cs="Times New Roman"/>
        </w:rPr>
        <w:t xml:space="preserve">7.7%, year 2010 start  decline to 17.1%, and year 2011 shows 10.3%. Compare to the mortality rate in developing country such as  Singapore, that shows only 3% (2001), the mortality rate in hospital of Dr </w:t>
      </w:r>
      <w:proofErr w:type="spellStart"/>
      <w:r w:rsidRPr="007263E1">
        <w:rPr>
          <w:rFonts w:ascii="Times New Roman" w:hAnsi="Times New Roman" w:cs="Times New Roman"/>
        </w:rPr>
        <w:t>Soetomo</w:t>
      </w:r>
      <w:proofErr w:type="spellEnd"/>
      <w:r w:rsidR="00E65D0E" w:rsidRPr="007263E1">
        <w:rPr>
          <w:rFonts w:ascii="Times New Roman" w:hAnsi="Times New Roman" w:cs="Times New Roman"/>
        </w:rPr>
        <w:t xml:space="preserve"> General Hospital</w:t>
      </w:r>
      <w:r w:rsidRPr="007263E1">
        <w:rPr>
          <w:rFonts w:ascii="Times New Roman" w:hAnsi="Times New Roman" w:cs="Times New Roman"/>
        </w:rPr>
        <w:t xml:space="preserve"> is quite </w:t>
      </w:r>
      <w:proofErr w:type="spellStart"/>
      <w:r w:rsidRPr="007263E1">
        <w:rPr>
          <w:rFonts w:ascii="Times New Roman" w:hAnsi="Times New Roman" w:cs="Times New Roman"/>
        </w:rPr>
        <w:t>hight</w:t>
      </w:r>
      <w:proofErr w:type="spellEnd"/>
      <w:r w:rsidRPr="007263E1">
        <w:rPr>
          <w:rFonts w:ascii="Times New Roman" w:hAnsi="Times New Roman" w:cs="Times New Roman"/>
        </w:rPr>
        <w:t xml:space="preserve">, although in its </w:t>
      </w:r>
      <w:proofErr w:type="spellStart"/>
      <w:r w:rsidRPr="007263E1">
        <w:rPr>
          <w:rFonts w:ascii="Times New Roman" w:hAnsi="Times New Roman" w:cs="Times New Roman"/>
        </w:rPr>
        <w:t>developmement</w:t>
      </w:r>
      <w:proofErr w:type="spellEnd"/>
      <w:r w:rsidRPr="007263E1">
        <w:rPr>
          <w:rFonts w:ascii="Times New Roman" w:hAnsi="Times New Roman" w:cs="Times New Roman"/>
        </w:rPr>
        <w:t>,  since the existence of burn unit in 1999, mortality rate have decrease significantly.</w:t>
      </w:r>
    </w:p>
    <w:p w14:paraId="35DCBD99" w14:textId="77777777" w:rsidR="00FF5326" w:rsidRPr="007263E1" w:rsidRDefault="00FF5326" w:rsidP="00FF5326">
      <w:pPr>
        <w:jc w:val="both"/>
        <w:rPr>
          <w:rFonts w:ascii="Times New Roman" w:hAnsi="Times New Roman" w:cs="Times New Roman"/>
        </w:rPr>
      </w:pPr>
      <w:r w:rsidRPr="007263E1">
        <w:rPr>
          <w:rFonts w:ascii="Times New Roman" w:hAnsi="Times New Roman" w:cs="Times New Roman"/>
        </w:rPr>
        <w:t>Burn management system that has been applied to burn unit was optimum. Administration handling with computerized system that has been integrated since 2010 is very helpful. Human resources, both doctor and nurses are well trained and well educate.  Coordination with other discipline that support the service delivering process in burn unit has running very well. Scientific discussion to optimize service has been conducted periodically. With good resources, good management system, handling of multidisciplinary, service excellent were expected and hopefully can reduce the rate of morbidity, mortality and d</w:t>
      </w:r>
      <w:r w:rsidR="00E65D0E" w:rsidRPr="007263E1">
        <w:rPr>
          <w:rFonts w:ascii="Times New Roman" w:hAnsi="Times New Roman" w:cs="Times New Roman"/>
        </w:rPr>
        <w:t>isability due to burns injury (S</w:t>
      </w:r>
      <w:r w:rsidRPr="007263E1">
        <w:rPr>
          <w:rFonts w:ascii="Times New Roman" w:hAnsi="Times New Roman" w:cs="Times New Roman"/>
        </w:rPr>
        <w:t>ettle, 1996).</w:t>
      </w:r>
    </w:p>
    <w:p w14:paraId="7062616F" w14:textId="77777777" w:rsidR="00FF5326" w:rsidRPr="007263E1" w:rsidRDefault="00FF5326" w:rsidP="00FF5326">
      <w:pPr>
        <w:jc w:val="both"/>
        <w:rPr>
          <w:rFonts w:ascii="Times New Roman" w:hAnsi="Times New Roman" w:cs="Times New Roman"/>
        </w:rPr>
      </w:pPr>
      <w:r w:rsidRPr="007263E1">
        <w:rPr>
          <w:rFonts w:ascii="Times New Roman" w:hAnsi="Times New Roman" w:cs="Times New Roman"/>
        </w:rPr>
        <w:t>In term of support equipment such as ECG monitors is still inappropriate, lack of ventilator, special operating room for burn handling, and other support tools for investigation such as blood gas analyzer and radiographic equipment that is possible to use at any time needed. Patients with burns a</w:t>
      </w:r>
      <w:r w:rsidR="00E86840" w:rsidRPr="007263E1">
        <w:rPr>
          <w:rFonts w:ascii="Times New Roman" w:hAnsi="Times New Roman" w:cs="Times New Roman"/>
        </w:rPr>
        <w:t>re treated in burn unit GBPT 3</w:t>
      </w:r>
      <w:r w:rsidRPr="007263E1">
        <w:rPr>
          <w:rFonts w:ascii="Times New Roman" w:hAnsi="Times New Roman" w:cs="Times New Roman"/>
          <w:vertAlign w:val="superscript"/>
        </w:rPr>
        <w:t>rd</w:t>
      </w:r>
      <w:r w:rsidRPr="007263E1">
        <w:rPr>
          <w:rFonts w:ascii="Times New Roman" w:hAnsi="Times New Roman" w:cs="Times New Roman"/>
        </w:rPr>
        <w:t xml:space="preserve"> floor.  Patient has to move to ICU at 2</w:t>
      </w:r>
      <w:r w:rsidRPr="007263E1">
        <w:rPr>
          <w:rFonts w:ascii="Times New Roman" w:hAnsi="Times New Roman" w:cs="Times New Roman"/>
          <w:vertAlign w:val="superscript"/>
        </w:rPr>
        <w:t>nd</w:t>
      </w:r>
      <w:r w:rsidRPr="007263E1">
        <w:rPr>
          <w:rFonts w:ascii="Times New Roman" w:hAnsi="Times New Roman" w:cs="Times New Roman"/>
        </w:rPr>
        <w:t xml:space="preserve"> floor for further treatment when declining situation is happened. Next, when surgery is needed to be taken, </w:t>
      </w:r>
      <w:proofErr w:type="spellStart"/>
      <w:r w:rsidRPr="007263E1">
        <w:rPr>
          <w:rFonts w:ascii="Times New Roman" w:hAnsi="Times New Roman" w:cs="Times New Roman"/>
        </w:rPr>
        <w:t>patien</w:t>
      </w:r>
      <w:proofErr w:type="spellEnd"/>
      <w:r w:rsidRPr="007263E1">
        <w:rPr>
          <w:rFonts w:ascii="Times New Roman" w:hAnsi="Times New Roman" w:cs="Times New Roman"/>
        </w:rPr>
        <w:t xml:space="preserve"> has to move to GBPT at 4</w:t>
      </w:r>
      <w:r w:rsidRPr="007263E1">
        <w:rPr>
          <w:rFonts w:ascii="Times New Roman" w:hAnsi="Times New Roman" w:cs="Times New Roman"/>
          <w:vertAlign w:val="superscript"/>
        </w:rPr>
        <w:t>th</w:t>
      </w:r>
      <w:r w:rsidRPr="007263E1">
        <w:rPr>
          <w:rFonts w:ascii="Times New Roman" w:hAnsi="Times New Roman" w:cs="Times New Roman"/>
        </w:rPr>
        <w:t xml:space="preserve"> floor. This work flow is still not optimal and become a major obstacle.</w:t>
      </w:r>
    </w:p>
    <w:p w14:paraId="0940CAC6" w14:textId="77777777" w:rsidR="006518BF" w:rsidRPr="007263E1" w:rsidRDefault="00FF5326" w:rsidP="006076C6">
      <w:pPr>
        <w:jc w:val="both"/>
        <w:rPr>
          <w:rFonts w:ascii="Times New Roman" w:hAnsi="Times New Roman" w:cs="Times New Roman"/>
        </w:rPr>
      </w:pPr>
      <w:r w:rsidRPr="007263E1">
        <w:rPr>
          <w:rFonts w:ascii="Times New Roman" w:hAnsi="Times New Roman" w:cs="Times New Roman"/>
        </w:rPr>
        <w:t>Number of visiting patient</w:t>
      </w:r>
      <w:r w:rsidR="00E86840" w:rsidRPr="007263E1">
        <w:rPr>
          <w:rFonts w:ascii="Times New Roman" w:hAnsi="Times New Roman" w:cs="Times New Roman"/>
        </w:rPr>
        <w:t xml:space="preserve"> with burn injury in</w:t>
      </w:r>
      <w:r w:rsidRPr="007263E1">
        <w:rPr>
          <w:rFonts w:ascii="Times New Roman" w:hAnsi="Times New Roman" w:cs="Times New Roman"/>
        </w:rPr>
        <w:t xml:space="preserve"> Dr </w:t>
      </w:r>
      <w:proofErr w:type="spellStart"/>
      <w:r w:rsidRPr="007263E1">
        <w:rPr>
          <w:rFonts w:ascii="Times New Roman" w:hAnsi="Times New Roman" w:cs="Times New Roman"/>
        </w:rPr>
        <w:t>Soetomo</w:t>
      </w:r>
      <w:proofErr w:type="spellEnd"/>
      <w:r w:rsidRPr="007263E1">
        <w:rPr>
          <w:rFonts w:ascii="Times New Roman" w:hAnsi="Times New Roman" w:cs="Times New Roman"/>
        </w:rPr>
        <w:t xml:space="preserve"> </w:t>
      </w:r>
      <w:r w:rsidR="00E86840" w:rsidRPr="007263E1">
        <w:rPr>
          <w:rFonts w:ascii="Times New Roman" w:hAnsi="Times New Roman" w:cs="Times New Roman"/>
        </w:rPr>
        <w:t xml:space="preserve">General Hospital </w:t>
      </w:r>
      <w:r w:rsidRPr="007263E1">
        <w:rPr>
          <w:rFonts w:ascii="Times New Roman" w:hAnsi="Times New Roman" w:cs="Times New Roman"/>
        </w:rPr>
        <w:t xml:space="preserve">relatively similar from year to year in the last 5 years, despite of the </w:t>
      </w:r>
      <w:r w:rsidR="00E86840" w:rsidRPr="007263E1">
        <w:rPr>
          <w:rFonts w:ascii="Times New Roman" w:hAnsi="Times New Roman" w:cs="Times New Roman"/>
        </w:rPr>
        <w:t>tendency of increment in year 2011</w:t>
      </w:r>
      <w:r w:rsidRPr="007263E1">
        <w:rPr>
          <w:rFonts w:ascii="Times New Roman" w:hAnsi="Times New Roman" w:cs="Times New Roman"/>
        </w:rPr>
        <w:t xml:space="preserve">; 145 patients. Origin of patient mostly is </w:t>
      </w:r>
      <w:r w:rsidRPr="007263E1">
        <w:rPr>
          <w:rFonts w:ascii="Times New Roman" w:hAnsi="Times New Roman" w:cs="Times New Roman"/>
        </w:rPr>
        <w:lastRenderedPageBreak/>
        <w:t xml:space="preserve">still from Surabaya region compare to patient from outside Surabaya in the last 5 years. This might happened because most cases of burn injury already be handled an treated in the </w:t>
      </w:r>
      <w:proofErr w:type="spellStart"/>
      <w:r w:rsidRPr="007263E1">
        <w:rPr>
          <w:rFonts w:ascii="Times New Roman" w:hAnsi="Times New Roman" w:cs="Times New Roman"/>
        </w:rPr>
        <w:t>patients</w:t>
      </w:r>
      <w:proofErr w:type="gramStart"/>
      <w:r w:rsidRPr="007263E1">
        <w:rPr>
          <w:rFonts w:ascii="Times New Roman" w:hAnsi="Times New Roman" w:cs="Times New Roman"/>
        </w:rPr>
        <w:t>;s</w:t>
      </w:r>
      <w:proofErr w:type="spellEnd"/>
      <w:proofErr w:type="gramEnd"/>
      <w:r w:rsidRPr="007263E1">
        <w:rPr>
          <w:rFonts w:ascii="Times New Roman" w:hAnsi="Times New Roman" w:cs="Times New Roman"/>
        </w:rPr>
        <w:t xml:space="preserve"> origin area. Burn cases in the last 5 </w:t>
      </w:r>
      <w:r w:rsidR="00E86840" w:rsidRPr="007263E1">
        <w:rPr>
          <w:rFonts w:ascii="Times New Roman" w:hAnsi="Times New Roman" w:cs="Times New Roman"/>
        </w:rPr>
        <w:t>years more often happened on male than female</w:t>
      </w:r>
      <w:r w:rsidRPr="007263E1">
        <w:rPr>
          <w:rFonts w:ascii="Times New Roman" w:hAnsi="Times New Roman" w:cs="Times New Roman"/>
        </w:rPr>
        <w:t>. This may due to mobility and activiti</w:t>
      </w:r>
      <w:r w:rsidR="00E86840" w:rsidRPr="007263E1">
        <w:rPr>
          <w:rFonts w:ascii="Times New Roman" w:hAnsi="Times New Roman" w:cs="Times New Roman"/>
        </w:rPr>
        <w:t>es of male are more than female</w:t>
      </w:r>
      <w:r w:rsidR="001D66C6" w:rsidRPr="007263E1">
        <w:rPr>
          <w:rFonts w:ascii="Times New Roman" w:hAnsi="Times New Roman" w:cs="Times New Roman"/>
        </w:rPr>
        <w:t>.</w:t>
      </w:r>
      <w:r w:rsidR="006076C6" w:rsidRPr="007263E1">
        <w:rPr>
          <w:rFonts w:ascii="Times New Roman" w:hAnsi="Times New Roman" w:cs="Times New Roman"/>
        </w:rPr>
        <w:t xml:space="preserve"> (Settle, 1</w:t>
      </w:r>
      <w:r w:rsidRPr="007263E1">
        <w:rPr>
          <w:rFonts w:ascii="Times New Roman" w:hAnsi="Times New Roman" w:cs="Times New Roman"/>
        </w:rPr>
        <w:t>996).</w:t>
      </w:r>
    </w:p>
    <w:p w14:paraId="15AFD3B1" w14:textId="77777777" w:rsidR="006076C6" w:rsidRPr="007263E1" w:rsidRDefault="006076C6" w:rsidP="006076C6">
      <w:pPr>
        <w:jc w:val="both"/>
        <w:rPr>
          <w:rFonts w:ascii="Times New Roman" w:hAnsi="Times New Roman" w:cs="Times New Roman"/>
        </w:rPr>
      </w:pPr>
      <w:r w:rsidRPr="007263E1">
        <w:rPr>
          <w:rFonts w:ascii="Times New Roman" w:hAnsi="Times New Roman" w:cs="Times New Roman"/>
        </w:rPr>
        <w:t xml:space="preserve">The most common factor that caused of burn injury is relatively same over the last 5 years, which are flame, electricity, and scald. Flame becomes the major factor that caused the death of the burn injury patient. This </w:t>
      </w:r>
      <w:r w:rsidR="001D66C6" w:rsidRPr="007263E1">
        <w:rPr>
          <w:rFonts w:ascii="Times New Roman" w:hAnsi="Times New Roman" w:cs="Times New Roman"/>
        </w:rPr>
        <w:t>is related to the effect of flame</w:t>
      </w:r>
      <w:r w:rsidRPr="007263E1">
        <w:rPr>
          <w:rFonts w:ascii="Times New Roman" w:hAnsi="Times New Roman" w:cs="Times New Roman"/>
        </w:rPr>
        <w:t xml:space="preserve"> might affect the breadth and the depths of burn. The more extensive and severe, the higher morbidity and mortality rate will be. </w:t>
      </w:r>
      <w:proofErr w:type="gramStart"/>
      <w:r w:rsidRPr="007263E1">
        <w:rPr>
          <w:rFonts w:ascii="Times New Roman" w:hAnsi="Times New Roman" w:cs="Times New Roman"/>
        </w:rPr>
        <w:t>(</w:t>
      </w:r>
      <w:proofErr w:type="spellStart"/>
      <w:r w:rsidRPr="007263E1">
        <w:rPr>
          <w:rFonts w:ascii="Times New Roman" w:hAnsi="Times New Roman" w:cs="Times New Roman"/>
        </w:rPr>
        <w:t>Demling</w:t>
      </w:r>
      <w:proofErr w:type="spellEnd"/>
      <w:r w:rsidRPr="007263E1">
        <w:rPr>
          <w:rFonts w:ascii="Times New Roman" w:hAnsi="Times New Roman" w:cs="Times New Roman"/>
        </w:rPr>
        <w:t>, 1990).</w:t>
      </w:r>
      <w:proofErr w:type="gramEnd"/>
      <w:r w:rsidRPr="007263E1">
        <w:rPr>
          <w:rFonts w:ascii="Times New Roman" w:hAnsi="Times New Roman" w:cs="Times New Roman"/>
        </w:rPr>
        <w:t xml:space="preserve"> The same thing</w:t>
      </w:r>
      <w:r w:rsidR="001D66C6" w:rsidRPr="007263E1">
        <w:rPr>
          <w:rFonts w:ascii="Times New Roman" w:hAnsi="Times New Roman" w:cs="Times New Roman"/>
        </w:rPr>
        <w:t xml:space="preserve"> happened to caused of scald</w:t>
      </w:r>
      <w:r w:rsidRPr="007263E1">
        <w:rPr>
          <w:rFonts w:ascii="Times New Roman" w:hAnsi="Times New Roman" w:cs="Times New Roman"/>
        </w:rPr>
        <w:t>, it often become the cause of superficial burns, which can be cured without surgical treatment (Klein, 2007). While in the case of electric burn, the effect is more prominent in the burn area. Morbidity and disability is hig</w:t>
      </w:r>
      <w:r w:rsidR="001D66C6" w:rsidRPr="007263E1">
        <w:rPr>
          <w:rFonts w:ascii="Times New Roman" w:hAnsi="Times New Roman" w:cs="Times New Roman"/>
        </w:rPr>
        <w:t xml:space="preserve">her in electrical burns. </w:t>
      </w:r>
      <w:proofErr w:type="gramStart"/>
      <w:r w:rsidR="001D66C6" w:rsidRPr="007263E1">
        <w:rPr>
          <w:rFonts w:ascii="Times New Roman" w:hAnsi="Times New Roman" w:cs="Times New Roman"/>
        </w:rPr>
        <w:t>(</w:t>
      </w:r>
      <w:proofErr w:type="spellStart"/>
      <w:r w:rsidR="001D66C6" w:rsidRPr="007263E1">
        <w:rPr>
          <w:rFonts w:ascii="Times New Roman" w:hAnsi="Times New Roman" w:cs="Times New Roman"/>
        </w:rPr>
        <w:t>Barret</w:t>
      </w:r>
      <w:proofErr w:type="spellEnd"/>
      <w:r w:rsidRPr="007263E1">
        <w:rPr>
          <w:rFonts w:ascii="Times New Roman" w:hAnsi="Times New Roman" w:cs="Times New Roman"/>
        </w:rPr>
        <w:t>, 1996).</w:t>
      </w:r>
      <w:proofErr w:type="gramEnd"/>
    </w:p>
    <w:p w14:paraId="1558E4E7" w14:textId="77777777" w:rsidR="006076C6" w:rsidRPr="007263E1" w:rsidRDefault="006076C6" w:rsidP="00C3077A">
      <w:pPr>
        <w:jc w:val="both"/>
        <w:rPr>
          <w:rFonts w:ascii="Times New Roman" w:hAnsi="Times New Roman" w:cs="Times New Roman"/>
        </w:rPr>
      </w:pPr>
      <w:r w:rsidRPr="007263E1">
        <w:rPr>
          <w:rFonts w:ascii="Times New Roman" w:hAnsi="Times New Roman" w:cs="Times New Roman"/>
        </w:rPr>
        <w:t xml:space="preserve">Adult is the group of age who are often expose to fire </w:t>
      </w:r>
      <w:proofErr w:type="spellStart"/>
      <w:r w:rsidRPr="007263E1">
        <w:rPr>
          <w:rFonts w:ascii="Times New Roman" w:hAnsi="Times New Roman" w:cs="Times New Roman"/>
        </w:rPr>
        <w:t>ie</w:t>
      </w:r>
      <w:proofErr w:type="spellEnd"/>
      <w:r w:rsidRPr="007263E1">
        <w:rPr>
          <w:rFonts w:ascii="Times New Roman" w:hAnsi="Times New Roman" w:cs="Times New Roman"/>
        </w:rPr>
        <w:t xml:space="preserve"> 25-65 year, the same thing happened on caused of electricity. This may related to the activities that been done by t</w:t>
      </w:r>
      <w:r w:rsidR="001D66C6" w:rsidRPr="007263E1">
        <w:rPr>
          <w:rFonts w:ascii="Times New Roman" w:hAnsi="Times New Roman" w:cs="Times New Roman"/>
        </w:rPr>
        <w:t>his age of group related to flame</w:t>
      </w:r>
      <w:r w:rsidRPr="007263E1">
        <w:rPr>
          <w:rFonts w:ascii="Times New Roman" w:hAnsi="Times New Roman" w:cs="Times New Roman"/>
        </w:rPr>
        <w:t xml:space="preserve"> and electricity. </w:t>
      </w:r>
      <w:proofErr w:type="gramStart"/>
      <w:r w:rsidRPr="007263E1">
        <w:rPr>
          <w:rFonts w:ascii="Times New Roman" w:hAnsi="Times New Roman" w:cs="Times New Roman"/>
        </w:rPr>
        <w:t>(Klein, 2007).</w:t>
      </w:r>
      <w:proofErr w:type="gramEnd"/>
    </w:p>
    <w:p w14:paraId="0E521CDB" w14:textId="77777777" w:rsidR="006964FD" w:rsidRPr="007263E1" w:rsidRDefault="001D66C6" w:rsidP="00C3077A">
      <w:pPr>
        <w:jc w:val="both"/>
        <w:rPr>
          <w:rFonts w:ascii="Times New Roman" w:hAnsi="Times New Roman" w:cs="Times New Roman"/>
        </w:rPr>
      </w:pPr>
      <w:r w:rsidRPr="007263E1">
        <w:rPr>
          <w:rFonts w:ascii="Times New Roman" w:hAnsi="Times New Roman" w:cs="Times New Roman"/>
        </w:rPr>
        <w:t>Scald</w:t>
      </w:r>
      <w:r w:rsidR="006076C6" w:rsidRPr="007263E1">
        <w:rPr>
          <w:rFonts w:ascii="Times New Roman" w:hAnsi="Times New Roman" w:cs="Times New Roman"/>
        </w:rPr>
        <w:t xml:space="preserve"> is a common thing that cause of burns in children than other age of group, which are relatively the same number of events each year in the last 5 years. This may related to the activities of children who are still in domestic sphere and negligence of the parents</w:t>
      </w:r>
      <w:r w:rsidRPr="007263E1">
        <w:rPr>
          <w:rFonts w:ascii="Times New Roman" w:hAnsi="Times New Roman" w:cs="Times New Roman"/>
        </w:rPr>
        <w:t xml:space="preserve"> might </w:t>
      </w:r>
      <w:proofErr w:type="gramStart"/>
      <w:r w:rsidRPr="007263E1">
        <w:rPr>
          <w:rFonts w:ascii="Times New Roman" w:hAnsi="Times New Roman" w:cs="Times New Roman"/>
        </w:rPr>
        <w:t>happened</w:t>
      </w:r>
      <w:proofErr w:type="gramEnd"/>
      <w:r w:rsidRPr="007263E1">
        <w:rPr>
          <w:rFonts w:ascii="Times New Roman" w:hAnsi="Times New Roman" w:cs="Times New Roman"/>
        </w:rPr>
        <w:t xml:space="preserve">. </w:t>
      </w:r>
      <w:proofErr w:type="gramStart"/>
      <w:r w:rsidRPr="007263E1">
        <w:rPr>
          <w:rFonts w:ascii="Times New Roman" w:hAnsi="Times New Roman" w:cs="Times New Roman"/>
        </w:rPr>
        <w:t>(Lawrence, 1996;</w:t>
      </w:r>
      <w:r w:rsidR="006076C6" w:rsidRPr="007263E1">
        <w:rPr>
          <w:rFonts w:ascii="Times New Roman" w:hAnsi="Times New Roman" w:cs="Times New Roman"/>
        </w:rPr>
        <w:t xml:space="preserve"> Klein, 2007).</w:t>
      </w:r>
      <w:proofErr w:type="gramEnd"/>
    </w:p>
    <w:p w14:paraId="7F29B41A" w14:textId="77777777" w:rsidR="00C52C10" w:rsidRPr="007263E1" w:rsidRDefault="00C52C10" w:rsidP="00C3077A">
      <w:pPr>
        <w:jc w:val="both"/>
        <w:rPr>
          <w:rFonts w:ascii="Times New Roman" w:hAnsi="Times New Roman" w:cs="Times New Roman"/>
        </w:rPr>
      </w:pPr>
      <w:r w:rsidRPr="007263E1">
        <w:rPr>
          <w:rFonts w:ascii="Times New Roman" w:hAnsi="Times New Roman" w:cs="Times New Roman"/>
        </w:rPr>
        <w:t>The average length of treatment for patient to recover are approximately 3-10 weeks, which is a</w:t>
      </w:r>
      <w:r w:rsidR="00C3077A" w:rsidRPr="007263E1">
        <w:rPr>
          <w:rFonts w:ascii="Times New Roman" w:hAnsi="Times New Roman" w:cs="Times New Roman"/>
        </w:rPr>
        <w:t>ssociated with the cause of flame</w:t>
      </w:r>
      <w:r w:rsidRPr="007263E1">
        <w:rPr>
          <w:rFonts w:ascii="Times New Roman" w:hAnsi="Times New Roman" w:cs="Times New Roman"/>
        </w:rPr>
        <w:t xml:space="preserve"> and </w:t>
      </w:r>
      <w:r w:rsidR="00C3077A" w:rsidRPr="007263E1">
        <w:rPr>
          <w:rFonts w:ascii="Times New Roman" w:hAnsi="Times New Roman" w:cs="Times New Roman"/>
        </w:rPr>
        <w:t>scald</w:t>
      </w:r>
      <w:r w:rsidRPr="007263E1">
        <w:rPr>
          <w:rFonts w:ascii="Times New Roman" w:hAnsi="Times New Roman" w:cs="Times New Roman"/>
        </w:rPr>
        <w:t>, while for the cases caused by electricity, require longer treatment more than 10 weeks. Patients who died in his/her treatment process mostly died at 1-2 weeks</w:t>
      </w:r>
      <w:r w:rsidR="00C3077A" w:rsidRPr="007263E1">
        <w:rPr>
          <w:rFonts w:ascii="Times New Roman" w:hAnsi="Times New Roman" w:cs="Times New Roman"/>
        </w:rPr>
        <w:t>, possibly due to the severe</w:t>
      </w:r>
      <w:r w:rsidRPr="007263E1">
        <w:rPr>
          <w:rFonts w:ascii="Times New Roman" w:hAnsi="Times New Roman" w:cs="Times New Roman"/>
        </w:rPr>
        <w:t xml:space="preserve"> and extend of burns suffered. (</w:t>
      </w:r>
      <w:proofErr w:type="spellStart"/>
      <w:r w:rsidRPr="007263E1">
        <w:rPr>
          <w:rFonts w:ascii="Times New Roman" w:hAnsi="Times New Roman" w:cs="Times New Roman"/>
        </w:rPr>
        <w:t>Cinat</w:t>
      </w:r>
      <w:proofErr w:type="spellEnd"/>
      <w:r w:rsidRPr="007263E1">
        <w:rPr>
          <w:rFonts w:ascii="Times New Roman" w:hAnsi="Times New Roman" w:cs="Times New Roman"/>
        </w:rPr>
        <w:t xml:space="preserve"> &amp; Smith, 2006; Klein, 2007)</w:t>
      </w:r>
    </w:p>
    <w:p w14:paraId="7DEF52A3" w14:textId="77777777" w:rsidR="00C52C10" w:rsidRPr="007263E1" w:rsidRDefault="00C52C10" w:rsidP="00C3077A">
      <w:pPr>
        <w:jc w:val="both"/>
        <w:rPr>
          <w:rFonts w:ascii="Times New Roman" w:hAnsi="Times New Roman" w:cs="Times New Roman"/>
        </w:rPr>
      </w:pPr>
      <w:r w:rsidRPr="007263E1">
        <w:rPr>
          <w:rFonts w:ascii="Times New Roman" w:hAnsi="Times New Roman" w:cs="Times New Roman"/>
        </w:rPr>
        <w:t xml:space="preserve">Life expectancy in all group of age, in average </w:t>
      </w:r>
      <w:proofErr w:type="gramStart"/>
      <w:r w:rsidRPr="007263E1">
        <w:rPr>
          <w:rFonts w:ascii="Times New Roman" w:hAnsi="Times New Roman" w:cs="Times New Roman"/>
        </w:rPr>
        <w:t>are</w:t>
      </w:r>
      <w:proofErr w:type="gramEnd"/>
      <w:r w:rsidRPr="007263E1">
        <w:rPr>
          <w:rFonts w:ascii="Times New Roman" w:hAnsi="Times New Roman" w:cs="Times New Roman"/>
        </w:rPr>
        <w:t xml:space="preserve"> the same, after getting proper treatment. Inhalation trauma become a major factor that increase mortality rate in burn injury ((</w:t>
      </w:r>
      <w:proofErr w:type="spellStart"/>
      <w:r w:rsidRPr="007263E1">
        <w:rPr>
          <w:rFonts w:ascii="Times New Roman" w:hAnsi="Times New Roman" w:cs="Times New Roman"/>
        </w:rPr>
        <w:t>strongin</w:t>
      </w:r>
      <w:proofErr w:type="spellEnd"/>
      <w:r w:rsidRPr="007263E1">
        <w:rPr>
          <w:rFonts w:ascii="Times New Roman" w:hAnsi="Times New Roman" w:cs="Times New Roman"/>
        </w:rPr>
        <w:t xml:space="preserve"> &amp; Hales, 1990) </w:t>
      </w:r>
      <w:r w:rsidR="00C3077A" w:rsidRPr="007263E1">
        <w:rPr>
          <w:rFonts w:ascii="Times New Roman" w:hAnsi="Times New Roman" w:cs="Times New Roman"/>
        </w:rPr>
        <w:t xml:space="preserve">Lung </w:t>
      </w:r>
      <w:proofErr w:type="spellStart"/>
      <w:r w:rsidR="00C3077A" w:rsidRPr="007263E1">
        <w:rPr>
          <w:rFonts w:ascii="Times New Roman" w:hAnsi="Times New Roman" w:cs="Times New Roman"/>
        </w:rPr>
        <w:t>o</w:t>
      </w:r>
      <w:r w:rsidRPr="007263E1">
        <w:rPr>
          <w:rFonts w:ascii="Times New Roman" w:hAnsi="Times New Roman" w:cs="Times New Roman"/>
        </w:rPr>
        <w:t>dema</w:t>
      </w:r>
      <w:proofErr w:type="spellEnd"/>
      <w:r w:rsidRPr="007263E1">
        <w:rPr>
          <w:rFonts w:ascii="Times New Roman" w:hAnsi="Times New Roman" w:cs="Times New Roman"/>
        </w:rPr>
        <w:t xml:space="preserve"> often occur</w:t>
      </w:r>
      <w:r w:rsidR="00D11F78" w:rsidRPr="007263E1">
        <w:rPr>
          <w:rFonts w:ascii="Times New Roman" w:hAnsi="Times New Roman" w:cs="Times New Roman"/>
        </w:rPr>
        <w:t xml:space="preserve"> </w:t>
      </w:r>
      <w:r w:rsidRPr="007263E1">
        <w:rPr>
          <w:rFonts w:ascii="Times New Roman" w:hAnsi="Times New Roman" w:cs="Times New Roman"/>
        </w:rPr>
        <w:t xml:space="preserve">in 48 hours in the case of extensive </w:t>
      </w:r>
      <w:r w:rsidR="00D11F78" w:rsidRPr="007263E1">
        <w:rPr>
          <w:rFonts w:ascii="Times New Roman" w:hAnsi="Times New Roman" w:cs="Times New Roman"/>
        </w:rPr>
        <w:t>burns. Complications of multi-</w:t>
      </w:r>
      <w:r w:rsidRPr="007263E1">
        <w:rPr>
          <w:rFonts w:ascii="Times New Roman" w:hAnsi="Times New Roman" w:cs="Times New Roman"/>
        </w:rPr>
        <w:t xml:space="preserve">organ </w:t>
      </w:r>
      <w:proofErr w:type="gramStart"/>
      <w:r w:rsidRPr="007263E1">
        <w:rPr>
          <w:rFonts w:ascii="Times New Roman" w:hAnsi="Times New Roman" w:cs="Times New Roman"/>
        </w:rPr>
        <w:t>abnormalities,</w:t>
      </w:r>
      <w:proofErr w:type="gramEnd"/>
      <w:r w:rsidRPr="007263E1">
        <w:rPr>
          <w:rFonts w:ascii="Times New Roman" w:hAnsi="Times New Roman" w:cs="Times New Roman"/>
        </w:rPr>
        <w:t xml:space="preserve"> become the most causes of </w:t>
      </w:r>
      <w:r w:rsidRPr="007263E1">
        <w:rPr>
          <w:rFonts w:ascii="Times New Roman" w:hAnsi="Times New Roman" w:cs="Times New Roman"/>
        </w:rPr>
        <w:lastRenderedPageBreak/>
        <w:t xml:space="preserve">death in moderate and severe burn injury for </w:t>
      </w:r>
      <w:proofErr w:type="spellStart"/>
      <w:r w:rsidRPr="007263E1">
        <w:rPr>
          <w:rFonts w:ascii="Times New Roman" w:hAnsi="Times New Roman" w:cs="Times New Roman"/>
        </w:rPr>
        <w:t>periode</w:t>
      </w:r>
      <w:proofErr w:type="spellEnd"/>
      <w:r w:rsidRPr="007263E1">
        <w:rPr>
          <w:rFonts w:ascii="Times New Roman" w:hAnsi="Times New Roman" w:cs="Times New Roman"/>
        </w:rPr>
        <w:t xml:space="preserve"> of 2007-2011. </w:t>
      </w:r>
      <w:proofErr w:type="gramStart"/>
      <w:r w:rsidR="00D11F78" w:rsidRPr="007263E1">
        <w:rPr>
          <w:rFonts w:ascii="Times New Roman" w:hAnsi="Times New Roman" w:cs="Times New Roman"/>
        </w:rPr>
        <w:t>(</w:t>
      </w:r>
      <w:proofErr w:type="spellStart"/>
      <w:r w:rsidR="00D11F78" w:rsidRPr="007263E1">
        <w:rPr>
          <w:rFonts w:ascii="Times New Roman" w:hAnsi="Times New Roman" w:cs="Times New Roman"/>
        </w:rPr>
        <w:t>Strongin</w:t>
      </w:r>
      <w:proofErr w:type="spellEnd"/>
      <w:r w:rsidR="00D11F78" w:rsidRPr="007263E1">
        <w:rPr>
          <w:rFonts w:ascii="Times New Roman" w:hAnsi="Times New Roman" w:cs="Times New Roman"/>
        </w:rPr>
        <w:t xml:space="preserve"> &amp; Hales, 1990;</w:t>
      </w:r>
      <w:r w:rsidRPr="007263E1">
        <w:rPr>
          <w:rFonts w:ascii="Times New Roman" w:hAnsi="Times New Roman" w:cs="Times New Roman"/>
        </w:rPr>
        <w:t xml:space="preserve"> </w:t>
      </w:r>
      <w:proofErr w:type="spellStart"/>
      <w:r w:rsidRPr="007263E1">
        <w:rPr>
          <w:rFonts w:ascii="Times New Roman" w:hAnsi="Times New Roman" w:cs="Times New Roman"/>
        </w:rPr>
        <w:t>Barret</w:t>
      </w:r>
      <w:proofErr w:type="spellEnd"/>
      <w:r w:rsidRPr="007263E1">
        <w:rPr>
          <w:rFonts w:ascii="Times New Roman" w:hAnsi="Times New Roman" w:cs="Times New Roman"/>
        </w:rPr>
        <w:t>, 1996).</w:t>
      </w:r>
      <w:proofErr w:type="gramEnd"/>
    </w:p>
    <w:p w14:paraId="61422788" w14:textId="77777777" w:rsidR="00C52C10" w:rsidRPr="007263E1" w:rsidRDefault="00C52C10" w:rsidP="00C3077A">
      <w:pPr>
        <w:jc w:val="both"/>
        <w:rPr>
          <w:rFonts w:ascii="Times New Roman" w:hAnsi="Times New Roman" w:cs="Times New Roman"/>
        </w:rPr>
      </w:pPr>
      <w:r w:rsidRPr="007263E1">
        <w:rPr>
          <w:rFonts w:ascii="Times New Roman" w:hAnsi="Times New Roman" w:cs="Times New Roman"/>
        </w:rPr>
        <w:t xml:space="preserve">In this research, from 2007 to 2011, the pattern of bacteria </w:t>
      </w:r>
      <w:r w:rsidR="00D11F78" w:rsidRPr="007263E1">
        <w:rPr>
          <w:rFonts w:ascii="Times New Roman" w:hAnsi="Times New Roman" w:cs="Times New Roman"/>
        </w:rPr>
        <w:t>in burn unit was dominated by</w:t>
      </w:r>
      <w:r w:rsidRPr="007263E1">
        <w:rPr>
          <w:rFonts w:ascii="Times New Roman" w:hAnsi="Times New Roman" w:cs="Times New Roman"/>
        </w:rPr>
        <w:t xml:space="preserve"> Pse</w:t>
      </w:r>
      <w:r w:rsidR="00D11F78" w:rsidRPr="007263E1">
        <w:rPr>
          <w:rFonts w:ascii="Times New Roman" w:hAnsi="Times New Roman" w:cs="Times New Roman"/>
        </w:rPr>
        <w:t>udomo</w:t>
      </w:r>
      <w:r w:rsidRPr="007263E1">
        <w:rPr>
          <w:rFonts w:ascii="Times New Roman" w:hAnsi="Times New Roman" w:cs="Times New Roman"/>
        </w:rPr>
        <w:t xml:space="preserve">nas </w:t>
      </w:r>
      <w:proofErr w:type="spellStart"/>
      <w:r w:rsidRPr="007263E1">
        <w:rPr>
          <w:rFonts w:ascii="Times New Roman" w:hAnsi="Times New Roman" w:cs="Times New Roman"/>
        </w:rPr>
        <w:t>aeruginosa</w:t>
      </w:r>
      <w:proofErr w:type="spellEnd"/>
      <w:r w:rsidRPr="007263E1">
        <w:rPr>
          <w:rFonts w:ascii="Times New Roman" w:hAnsi="Times New Roman" w:cs="Times New Roman"/>
        </w:rPr>
        <w:t xml:space="preserve"> (31,8% in 2011) </w:t>
      </w:r>
      <w:proofErr w:type="gramStart"/>
      <w:r w:rsidRPr="007263E1">
        <w:rPr>
          <w:rFonts w:ascii="Times New Roman" w:hAnsi="Times New Roman" w:cs="Times New Roman"/>
        </w:rPr>
        <w:t>as a common bacteria</w:t>
      </w:r>
      <w:proofErr w:type="gramEnd"/>
      <w:r w:rsidRPr="007263E1">
        <w:rPr>
          <w:rFonts w:ascii="Times New Roman" w:hAnsi="Times New Roman" w:cs="Times New Roman"/>
        </w:rPr>
        <w:t xml:space="preserve"> that cause of infection in hospitals for</w:t>
      </w:r>
      <w:r w:rsidR="00D11F78" w:rsidRPr="007263E1">
        <w:rPr>
          <w:rFonts w:ascii="Times New Roman" w:hAnsi="Times New Roman" w:cs="Times New Roman"/>
        </w:rPr>
        <w:t xml:space="preserve"> treatment of Dr.</w:t>
      </w:r>
      <w:r w:rsidRPr="007263E1">
        <w:rPr>
          <w:rFonts w:ascii="Times New Roman" w:hAnsi="Times New Roman" w:cs="Times New Roman"/>
        </w:rPr>
        <w:t xml:space="preserve"> </w:t>
      </w:r>
      <w:proofErr w:type="spellStart"/>
      <w:r w:rsidRPr="007263E1">
        <w:rPr>
          <w:rFonts w:ascii="Times New Roman" w:hAnsi="Times New Roman" w:cs="Times New Roman"/>
        </w:rPr>
        <w:t>Soetomo</w:t>
      </w:r>
      <w:proofErr w:type="spellEnd"/>
      <w:r w:rsidR="00D11F78" w:rsidRPr="007263E1">
        <w:rPr>
          <w:rFonts w:ascii="Times New Roman" w:hAnsi="Times New Roman" w:cs="Times New Roman"/>
        </w:rPr>
        <w:t xml:space="preserve"> General Hospital</w:t>
      </w:r>
      <w:r w:rsidRPr="007263E1">
        <w:rPr>
          <w:rFonts w:ascii="Times New Roman" w:hAnsi="Times New Roman" w:cs="Times New Roman"/>
        </w:rPr>
        <w:t xml:space="preserve">. Case of </w:t>
      </w:r>
      <w:proofErr w:type="spellStart"/>
      <w:r w:rsidRPr="007263E1">
        <w:rPr>
          <w:rFonts w:ascii="Times New Roman" w:hAnsi="Times New Roman" w:cs="Times New Roman"/>
        </w:rPr>
        <w:t>Acinetobacter</w:t>
      </w:r>
      <w:proofErr w:type="spellEnd"/>
      <w:r w:rsidRPr="007263E1">
        <w:rPr>
          <w:rFonts w:ascii="Times New Roman" w:hAnsi="Times New Roman" w:cs="Times New Roman"/>
        </w:rPr>
        <w:t xml:space="preserve"> bacteria known as hospital germs is also increase for the last 5 years (30% in 2011). While MRSA case, which always been there before in burn unit, was not found in 2011, but the case is still there in burn ward every year.</w:t>
      </w:r>
    </w:p>
    <w:p w14:paraId="41F37109" w14:textId="77777777" w:rsidR="00C52C10" w:rsidRPr="007263E1" w:rsidRDefault="00C52C10" w:rsidP="00C3077A">
      <w:pPr>
        <w:jc w:val="both"/>
        <w:rPr>
          <w:rFonts w:ascii="Times New Roman" w:hAnsi="Times New Roman" w:cs="Times New Roman"/>
        </w:rPr>
      </w:pPr>
      <w:r w:rsidRPr="007263E1">
        <w:rPr>
          <w:rFonts w:ascii="Times New Roman" w:hAnsi="Times New Roman" w:cs="Times New Roman"/>
        </w:rPr>
        <w:t>Kind of antibiotics that still sensitive to Pse</w:t>
      </w:r>
      <w:r w:rsidR="00D11F78" w:rsidRPr="007263E1">
        <w:rPr>
          <w:rFonts w:ascii="Times New Roman" w:hAnsi="Times New Roman" w:cs="Times New Roman"/>
        </w:rPr>
        <w:t>u</w:t>
      </w:r>
      <w:r w:rsidRPr="007263E1">
        <w:rPr>
          <w:rFonts w:ascii="Times New Roman" w:hAnsi="Times New Roman" w:cs="Times New Roman"/>
        </w:rPr>
        <w:t xml:space="preserve">domonas </w:t>
      </w:r>
      <w:proofErr w:type="spellStart"/>
      <w:r w:rsidRPr="007263E1">
        <w:rPr>
          <w:rFonts w:ascii="Times New Roman" w:hAnsi="Times New Roman" w:cs="Times New Roman"/>
        </w:rPr>
        <w:t>aeruginosa</w:t>
      </w:r>
      <w:proofErr w:type="spellEnd"/>
      <w:r w:rsidRPr="007263E1">
        <w:rPr>
          <w:rFonts w:ascii="Times New Roman" w:hAnsi="Times New Roman" w:cs="Times New Roman"/>
        </w:rPr>
        <w:t xml:space="preserve"> for the last 5 years are </w:t>
      </w:r>
      <w:proofErr w:type="spellStart"/>
      <w:r w:rsidRPr="007263E1">
        <w:rPr>
          <w:rFonts w:ascii="Times New Roman" w:hAnsi="Times New Roman" w:cs="Times New Roman"/>
        </w:rPr>
        <w:t>amikacin</w:t>
      </w:r>
      <w:proofErr w:type="spellEnd"/>
      <w:r w:rsidRPr="007263E1">
        <w:rPr>
          <w:rFonts w:ascii="Times New Roman" w:hAnsi="Times New Roman" w:cs="Times New Roman"/>
        </w:rPr>
        <w:t xml:space="preserve"> (18.1-21.9%), </w:t>
      </w:r>
      <w:proofErr w:type="spellStart"/>
      <w:r w:rsidRPr="007263E1">
        <w:rPr>
          <w:rFonts w:ascii="Times New Roman" w:hAnsi="Times New Roman" w:cs="Times New Roman"/>
        </w:rPr>
        <w:t>ceftazidim</w:t>
      </w:r>
      <w:proofErr w:type="spellEnd"/>
      <w:r w:rsidRPr="007263E1">
        <w:rPr>
          <w:rFonts w:ascii="Times New Roman" w:hAnsi="Times New Roman" w:cs="Times New Roman"/>
        </w:rPr>
        <w:t xml:space="preserve"> (17.6-21.3%), </w:t>
      </w:r>
      <w:proofErr w:type="spellStart"/>
      <w:r w:rsidRPr="007263E1">
        <w:rPr>
          <w:rFonts w:ascii="Times New Roman" w:hAnsi="Times New Roman" w:cs="Times New Roman"/>
        </w:rPr>
        <w:t>meropenem</w:t>
      </w:r>
      <w:proofErr w:type="spellEnd"/>
      <w:r w:rsidRPr="007263E1">
        <w:rPr>
          <w:rFonts w:ascii="Times New Roman" w:hAnsi="Times New Roman" w:cs="Times New Roman"/>
        </w:rPr>
        <w:t xml:space="preserve"> (20.1-21.4%), </w:t>
      </w:r>
      <w:proofErr w:type="spellStart"/>
      <w:r w:rsidRPr="007263E1">
        <w:rPr>
          <w:rFonts w:ascii="Times New Roman" w:hAnsi="Times New Roman" w:cs="Times New Roman"/>
        </w:rPr>
        <w:t>cefoperazon-sulbactam</w:t>
      </w:r>
      <w:proofErr w:type="spellEnd"/>
      <w:r w:rsidRPr="007263E1">
        <w:rPr>
          <w:rFonts w:ascii="Times New Roman" w:hAnsi="Times New Roman" w:cs="Times New Roman"/>
        </w:rPr>
        <w:t xml:space="preserve"> (18.3-20.1%) </w:t>
      </w:r>
      <w:proofErr w:type="spellStart"/>
      <w:r w:rsidRPr="007263E1">
        <w:rPr>
          <w:rFonts w:ascii="Times New Roman" w:hAnsi="Times New Roman" w:cs="Times New Roman"/>
        </w:rPr>
        <w:t>dan</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cefepim</w:t>
      </w:r>
      <w:proofErr w:type="spellEnd"/>
      <w:r w:rsidRPr="007263E1">
        <w:rPr>
          <w:rFonts w:ascii="Times New Roman" w:hAnsi="Times New Roman" w:cs="Times New Roman"/>
        </w:rPr>
        <w:t xml:space="preserve"> (20.3-20.8%).</w:t>
      </w:r>
    </w:p>
    <w:p w14:paraId="33443DF0" w14:textId="77777777" w:rsidR="006964FD" w:rsidRPr="007263E1" w:rsidRDefault="00C52C10" w:rsidP="00C3077A">
      <w:pPr>
        <w:jc w:val="both"/>
        <w:rPr>
          <w:rFonts w:ascii="Times New Roman" w:hAnsi="Times New Roman" w:cs="Times New Roman"/>
        </w:rPr>
      </w:pPr>
      <w:r w:rsidRPr="007263E1">
        <w:rPr>
          <w:rFonts w:ascii="Times New Roman" w:hAnsi="Times New Roman" w:cs="Times New Roman"/>
        </w:rPr>
        <w:t xml:space="preserve">Pseudomonas </w:t>
      </w:r>
      <w:proofErr w:type="spellStart"/>
      <w:r w:rsidRPr="007263E1">
        <w:rPr>
          <w:rFonts w:ascii="Times New Roman" w:hAnsi="Times New Roman" w:cs="Times New Roman"/>
        </w:rPr>
        <w:t>aeruginosa</w:t>
      </w:r>
      <w:proofErr w:type="spellEnd"/>
      <w:r w:rsidRPr="007263E1">
        <w:rPr>
          <w:rFonts w:ascii="Times New Roman" w:hAnsi="Times New Roman" w:cs="Times New Roman"/>
        </w:rPr>
        <w:t xml:space="preserve"> resistance to several classes of antibiotics in the last 5 years, which is the highest on </w:t>
      </w:r>
      <w:r w:rsidR="00D11F78" w:rsidRPr="007263E1">
        <w:rPr>
          <w:rFonts w:ascii="Times New Roman" w:hAnsi="Times New Roman" w:cs="Times New Roman"/>
        </w:rPr>
        <w:t>amoxicillin-</w:t>
      </w:r>
      <w:proofErr w:type="spellStart"/>
      <w:r w:rsidRPr="007263E1">
        <w:rPr>
          <w:rFonts w:ascii="Times New Roman" w:hAnsi="Times New Roman" w:cs="Times New Roman"/>
        </w:rPr>
        <w:t>clavulanat</w:t>
      </w:r>
      <w:proofErr w:type="spellEnd"/>
      <w:r w:rsidRPr="007263E1">
        <w:rPr>
          <w:rFonts w:ascii="Times New Roman" w:hAnsi="Times New Roman" w:cs="Times New Roman"/>
        </w:rPr>
        <w:t xml:space="preserve"> </w:t>
      </w:r>
      <w:r w:rsidR="00D11F78" w:rsidRPr="007263E1">
        <w:rPr>
          <w:rFonts w:ascii="Times New Roman" w:hAnsi="Times New Roman" w:cs="Times New Roman"/>
        </w:rPr>
        <w:t>(18,4-</w:t>
      </w:r>
      <w:r w:rsidRPr="007263E1">
        <w:rPr>
          <w:rFonts w:ascii="Times New Roman" w:hAnsi="Times New Roman" w:cs="Times New Roman"/>
        </w:rPr>
        <w:t xml:space="preserve">22,9%), </w:t>
      </w:r>
      <w:proofErr w:type="spellStart"/>
      <w:r w:rsidRPr="007263E1">
        <w:rPr>
          <w:rFonts w:ascii="Times New Roman" w:hAnsi="Times New Roman" w:cs="Times New Roman"/>
        </w:rPr>
        <w:t>co</w:t>
      </w:r>
      <w:r w:rsidR="00D11F78" w:rsidRPr="007263E1">
        <w:rPr>
          <w:rFonts w:ascii="Times New Roman" w:hAnsi="Times New Roman" w:cs="Times New Roman"/>
        </w:rPr>
        <w:t>t</w:t>
      </w:r>
      <w:r w:rsidRPr="007263E1">
        <w:rPr>
          <w:rFonts w:ascii="Times New Roman" w:hAnsi="Times New Roman" w:cs="Times New Roman"/>
        </w:rPr>
        <w:t>rimoxazol</w:t>
      </w:r>
      <w:proofErr w:type="spellEnd"/>
      <w:r w:rsidRPr="007263E1">
        <w:rPr>
          <w:rFonts w:ascii="Times New Roman" w:hAnsi="Times New Roman" w:cs="Times New Roman"/>
        </w:rPr>
        <w:t xml:space="preserve"> (16.7-19.8%), gentamicin (19.5-20.7%), ampicillin-</w:t>
      </w:r>
      <w:proofErr w:type="spellStart"/>
      <w:r w:rsidRPr="007263E1">
        <w:rPr>
          <w:rFonts w:ascii="Times New Roman" w:hAnsi="Times New Roman" w:cs="Times New Roman"/>
        </w:rPr>
        <w:t>sulbactam</w:t>
      </w:r>
      <w:proofErr w:type="spellEnd"/>
      <w:r w:rsidRPr="007263E1">
        <w:rPr>
          <w:rFonts w:ascii="Times New Roman" w:hAnsi="Times New Roman" w:cs="Times New Roman"/>
        </w:rPr>
        <w:t xml:space="preserve"> (19.4-20,7%) and </w:t>
      </w:r>
      <w:proofErr w:type="spellStart"/>
      <w:r w:rsidRPr="007263E1">
        <w:rPr>
          <w:rFonts w:ascii="Times New Roman" w:hAnsi="Times New Roman" w:cs="Times New Roman"/>
        </w:rPr>
        <w:t>cefotaxim</w:t>
      </w:r>
      <w:proofErr w:type="spellEnd"/>
      <w:r w:rsidRPr="007263E1">
        <w:rPr>
          <w:rFonts w:ascii="Times New Roman" w:hAnsi="Times New Roman" w:cs="Times New Roman"/>
        </w:rPr>
        <w:t xml:space="preserve"> (18.5-21.1%)</w:t>
      </w:r>
    </w:p>
    <w:p w14:paraId="5C08E798" w14:textId="77777777" w:rsidR="006964FD" w:rsidRPr="007263E1" w:rsidRDefault="006964FD" w:rsidP="00C3077A">
      <w:pPr>
        <w:jc w:val="both"/>
        <w:rPr>
          <w:rFonts w:ascii="Times New Roman" w:hAnsi="Times New Roman" w:cs="Times New Roman"/>
        </w:rPr>
      </w:pPr>
    </w:p>
    <w:p w14:paraId="5CA99007" w14:textId="77777777" w:rsidR="006964FD" w:rsidRPr="007263E1" w:rsidRDefault="006964FD" w:rsidP="00A167D6">
      <w:pPr>
        <w:jc w:val="both"/>
        <w:rPr>
          <w:rFonts w:ascii="Times New Roman" w:hAnsi="Times New Roman" w:cs="Times New Roman"/>
        </w:rPr>
      </w:pPr>
    </w:p>
    <w:p w14:paraId="70074644" w14:textId="77777777" w:rsidR="006964FD" w:rsidRPr="007263E1" w:rsidRDefault="006964FD" w:rsidP="00A167D6">
      <w:pPr>
        <w:jc w:val="both"/>
        <w:rPr>
          <w:rFonts w:ascii="Times New Roman" w:hAnsi="Times New Roman" w:cs="Times New Roman"/>
          <w:b/>
        </w:rPr>
      </w:pPr>
      <w:r w:rsidRPr="007263E1">
        <w:rPr>
          <w:rFonts w:ascii="Times New Roman" w:hAnsi="Times New Roman" w:cs="Times New Roman"/>
          <w:b/>
        </w:rPr>
        <w:t>CONCLUSION</w:t>
      </w:r>
    </w:p>
    <w:p w14:paraId="621F83DB" w14:textId="77777777" w:rsidR="006964FD" w:rsidRPr="007263E1" w:rsidRDefault="006964FD" w:rsidP="00A167D6">
      <w:pPr>
        <w:jc w:val="both"/>
        <w:rPr>
          <w:rFonts w:ascii="Times New Roman" w:hAnsi="Times New Roman" w:cs="Times New Roman"/>
        </w:rPr>
      </w:pPr>
    </w:p>
    <w:p w14:paraId="6E124AC9" w14:textId="77777777" w:rsidR="006964FD" w:rsidRPr="007263E1" w:rsidRDefault="006964FD" w:rsidP="00A167D6">
      <w:pPr>
        <w:pStyle w:val="ListParagraph"/>
        <w:numPr>
          <w:ilvl w:val="0"/>
          <w:numId w:val="3"/>
        </w:numPr>
        <w:jc w:val="both"/>
        <w:rPr>
          <w:rFonts w:ascii="Times New Roman" w:hAnsi="Times New Roman" w:cs="Times New Roman"/>
        </w:rPr>
      </w:pPr>
      <w:r w:rsidRPr="007263E1">
        <w:rPr>
          <w:rFonts w:ascii="Times New Roman" w:hAnsi="Times New Roman" w:cs="Times New Roman"/>
        </w:rPr>
        <w:t>In the last 5 years, cases of burns injury</w:t>
      </w:r>
      <w:r w:rsidR="003600D7" w:rsidRPr="007263E1">
        <w:rPr>
          <w:rFonts w:ascii="Times New Roman" w:hAnsi="Times New Roman" w:cs="Times New Roman"/>
        </w:rPr>
        <w:t xml:space="preserve"> in </w:t>
      </w:r>
      <w:r w:rsidRPr="007263E1">
        <w:rPr>
          <w:rFonts w:ascii="Times New Roman" w:hAnsi="Times New Roman" w:cs="Times New Roman"/>
        </w:rPr>
        <w:t>Dr</w:t>
      </w:r>
      <w:r w:rsidR="003600D7" w:rsidRPr="007263E1">
        <w:rPr>
          <w:rFonts w:ascii="Times New Roman" w:hAnsi="Times New Roman" w:cs="Times New Roman"/>
        </w:rPr>
        <w:t>.</w:t>
      </w:r>
      <w:r w:rsidRPr="007263E1">
        <w:rPr>
          <w:rFonts w:ascii="Times New Roman" w:hAnsi="Times New Roman" w:cs="Times New Roman"/>
        </w:rPr>
        <w:t xml:space="preserve"> </w:t>
      </w:r>
      <w:proofErr w:type="spellStart"/>
      <w:r w:rsidRPr="007263E1">
        <w:rPr>
          <w:rFonts w:ascii="Times New Roman" w:hAnsi="Times New Roman" w:cs="Times New Roman"/>
        </w:rPr>
        <w:t>Soetomo</w:t>
      </w:r>
      <w:proofErr w:type="spellEnd"/>
      <w:r w:rsidR="003600D7" w:rsidRPr="007263E1">
        <w:rPr>
          <w:rFonts w:ascii="Times New Roman" w:hAnsi="Times New Roman" w:cs="Times New Roman"/>
        </w:rPr>
        <w:t xml:space="preserve"> General Hospital</w:t>
      </w:r>
      <w:r w:rsidRPr="007263E1">
        <w:rPr>
          <w:rFonts w:ascii="Times New Roman" w:hAnsi="Times New Roman" w:cs="Times New Roman"/>
        </w:rPr>
        <w:t xml:space="preserve"> still related to occupation and </w:t>
      </w:r>
      <w:proofErr w:type="spellStart"/>
      <w:r w:rsidRPr="007263E1">
        <w:rPr>
          <w:rFonts w:ascii="Times New Roman" w:hAnsi="Times New Roman" w:cs="Times New Roman"/>
        </w:rPr>
        <w:t>acitivities</w:t>
      </w:r>
      <w:proofErr w:type="spellEnd"/>
      <w:r w:rsidRPr="007263E1">
        <w:rPr>
          <w:rFonts w:ascii="Times New Roman" w:hAnsi="Times New Roman" w:cs="Times New Roman"/>
        </w:rPr>
        <w:t xml:space="preserve"> of patient. There is a relationship betw</w:t>
      </w:r>
      <w:r w:rsidR="003600D7" w:rsidRPr="007263E1">
        <w:rPr>
          <w:rFonts w:ascii="Times New Roman" w:hAnsi="Times New Roman" w:cs="Times New Roman"/>
        </w:rPr>
        <w:t>een mortality by cause of burns and</w:t>
      </w:r>
      <w:r w:rsidRPr="007263E1">
        <w:rPr>
          <w:rFonts w:ascii="Times New Roman" w:hAnsi="Times New Roman" w:cs="Times New Roman"/>
        </w:rPr>
        <w:t xml:space="preserve"> inhalation </w:t>
      </w:r>
      <w:r w:rsidR="003600D7" w:rsidRPr="007263E1">
        <w:rPr>
          <w:rFonts w:ascii="Times New Roman" w:hAnsi="Times New Roman" w:cs="Times New Roman"/>
        </w:rPr>
        <w:t>trauma</w:t>
      </w:r>
      <w:r w:rsidRPr="007263E1">
        <w:rPr>
          <w:rFonts w:ascii="Times New Roman" w:hAnsi="Times New Roman" w:cs="Times New Roman"/>
        </w:rPr>
        <w:t>.</w:t>
      </w:r>
    </w:p>
    <w:p w14:paraId="4ECC063E" w14:textId="77777777" w:rsidR="006964FD" w:rsidRPr="007263E1" w:rsidRDefault="006964FD" w:rsidP="00A167D6">
      <w:pPr>
        <w:pStyle w:val="ListParagraph"/>
        <w:numPr>
          <w:ilvl w:val="0"/>
          <w:numId w:val="3"/>
        </w:numPr>
        <w:jc w:val="both"/>
        <w:rPr>
          <w:rFonts w:ascii="Times New Roman" w:hAnsi="Times New Roman" w:cs="Times New Roman"/>
        </w:rPr>
      </w:pPr>
      <w:r w:rsidRPr="007263E1">
        <w:rPr>
          <w:rFonts w:ascii="Times New Roman" w:hAnsi="Times New Roman" w:cs="Times New Roman"/>
        </w:rPr>
        <w:t xml:space="preserve">In the 12 year of burn unit’s existence, the mortality rate in the last 5 years has fluctuating increase, the decrease in the last 2 years, up to 10,3% in 2011. This fact shows that burn unit has delivered maximum performance despite of limitation that </w:t>
      </w:r>
      <w:proofErr w:type="gramStart"/>
      <w:r w:rsidRPr="007263E1">
        <w:rPr>
          <w:rFonts w:ascii="Times New Roman" w:hAnsi="Times New Roman" w:cs="Times New Roman"/>
        </w:rPr>
        <w:t>exist</w:t>
      </w:r>
      <w:proofErr w:type="gramEnd"/>
      <w:r w:rsidRPr="007263E1">
        <w:rPr>
          <w:rFonts w:ascii="Times New Roman" w:hAnsi="Times New Roman" w:cs="Times New Roman"/>
        </w:rPr>
        <w:t xml:space="preserve">. </w:t>
      </w:r>
    </w:p>
    <w:p w14:paraId="041850DE" w14:textId="77777777" w:rsidR="006964FD" w:rsidRPr="007263E1" w:rsidRDefault="006964FD" w:rsidP="00A167D6">
      <w:pPr>
        <w:pStyle w:val="ListParagraph"/>
        <w:numPr>
          <w:ilvl w:val="0"/>
          <w:numId w:val="3"/>
        </w:numPr>
        <w:jc w:val="both"/>
        <w:rPr>
          <w:rFonts w:ascii="Times New Roman" w:hAnsi="Times New Roman" w:cs="Times New Roman"/>
        </w:rPr>
      </w:pPr>
      <w:r w:rsidRPr="007263E1">
        <w:rPr>
          <w:rFonts w:ascii="Times New Roman" w:hAnsi="Times New Roman" w:cs="Times New Roman"/>
        </w:rPr>
        <w:t xml:space="preserve">Improvement and additional support </w:t>
      </w:r>
      <w:proofErr w:type="gramStart"/>
      <w:r w:rsidRPr="007263E1">
        <w:rPr>
          <w:rFonts w:ascii="Times New Roman" w:hAnsi="Times New Roman" w:cs="Times New Roman"/>
        </w:rPr>
        <w:t>facilities is</w:t>
      </w:r>
      <w:proofErr w:type="gramEnd"/>
      <w:r w:rsidRPr="007263E1">
        <w:rPr>
          <w:rFonts w:ascii="Times New Roman" w:hAnsi="Times New Roman" w:cs="Times New Roman"/>
        </w:rPr>
        <w:t xml:space="preserve"> needed to improve the performance of burn unit and to suppress the rate of mortality, morbidity and disability.</w:t>
      </w:r>
    </w:p>
    <w:p w14:paraId="33E30E0B" w14:textId="77777777" w:rsidR="00B9091E" w:rsidRDefault="006964FD" w:rsidP="00A167D6">
      <w:pPr>
        <w:pStyle w:val="ListParagraph"/>
        <w:numPr>
          <w:ilvl w:val="0"/>
          <w:numId w:val="3"/>
        </w:numPr>
        <w:jc w:val="both"/>
        <w:rPr>
          <w:rFonts w:ascii="Times New Roman" w:hAnsi="Times New Roman" w:cs="Times New Roman"/>
        </w:rPr>
      </w:pPr>
      <w:r w:rsidRPr="007263E1">
        <w:rPr>
          <w:rFonts w:ascii="Times New Roman" w:hAnsi="Times New Roman" w:cs="Times New Roman"/>
        </w:rPr>
        <w:t xml:space="preserve">Pattern of bacteria in burn unit still dominated by hospital bacteria. Resistance of hospital bacteria still need to scrutiny through regular </w:t>
      </w:r>
      <w:r w:rsidRPr="007263E1">
        <w:rPr>
          <w:rFonts w:ascii="Times New Roman" w:hAnsi="Times New Roman" w:cs="Times New Roman"/>
        </w:rPr>
        <w:lastRenderedPageBreak/>
        <w:t>evaluation and further research</w:t>
      </w:r>
      <w:r w:rsidR="003600D7" w:rsidRPr="007263E1">
        <w:rPr>
          <w:rFonts w:ascii="Times New Roman" w:hAnsi="Times New Roman" w:cs="Times New Roman"/>
        </w:rPr>
        <w:t xml:space="preserve">. </w:t>
      </w:r>
      <w:r w:rsidRPr="007263E1">
        <w:rPr>
          <w:rFonts w:ascii="Times New Roman" w:hAnsi="Times New Roman" w:cs="Times New Roman"/>
        </w:rPr>
        <w:t>Rational management of antibiotic therapy is expected to suppress the pattern of hospital bacteria.</w:t>
      </w:r>
    </w:p>
    <w:p w14:paraId="289E9B15" w14:textId="77777777" w:rsidR="00F32831" w:rsidRDefault="00F32831" w:rsidP="00F32831">
      <w:pPr>
        <w:jc w:val="both"/>
        <w:rPr>
          <w:rFonts w:ascii="Times New Roman" w:hAnsi="Times New Roman" w:cs="Times New Roman"/>
        </w:rPr>
      </w:pPr>
    </w:p>
    <w:p w14:paraId="67B03B5C" w14:textId="77777777" w:rsidR="00B675C0" w:rsidRDefault="00B675C0" w:rsidP="00F32831">
      <w:pPr>
        <w:jc w:val="both"/>
        <w:rPr>
          <w:rFonts w:ascii="Times New Roman" w:hAnsi="Times New Roman" w:cs="Times New Roman"/>
          <w:b/>
        </w:rPr>
      </w:pPr>
    </w:p>
    <w:p w14:paraId="6EE2243E" w14:textId="77777777" w:rsidR="00F32831" w:rsidRPr="007263E1" w:rsidRDefault="00F32831" w:rsidP="00F32831">
      <w:pPr>
        <w:jc w:val="both"/>
        <w:rPr>
          <w:rFonts w:ascii="Times New Roman" w:hAnsi="Times New Roman" w:cs="Times New Roman"/>
          <w:b/>
        </w:rPr>
      </w:pPr>
      <w:r w:rsidRPr="007263E1">
        <w:rPr>
          <w:rFonts w:ascii="Times New Roman" w:hAnsi="Times New Roman" w:cs="Times New Roman"/>
          <w:b/>
        </w:rPr>
        <w:t>REFERENCES</w:t>
      </w:r>
    </w:p>
    <w:p w14:paraId="749546F8" w14:textId="77777777" w:rsidR="00F32831" w:rsidRPr="007263E1" w:rsidRDefault="00F32831" w:rsidP="00F32831">
      <w:pPr>
        <w:jc w:val="both"/>
        <w:rPr>
          <w:rFonts w:ascii="Times New Roman" w:hAnsi="Times New Roman" w:cs="Times New Roman"/>
        </w:rPr>
      </w:pPr>
    </w:p>
    <w:p w14:paraId="1DD0A064" w14:textId="77777777" w:rsidR="00F32831" w:rsidRPr="007263E1" w:rsidRDefault="00F32831" w:rsidP="00F32831">
      <w:pPr>
        <w:pStyle w:val="ListParagraph"/>
        <w:numPr>
          <w:ilvl w:val="0"/>
          <w:numId w:val="2"/>
        </w:numPr>
        <w:jc w:val="both"/>
        <w:rPr>
          <w:rFonts w:ascii="Times New Roman" w:hAnsi="Times New Roman" w:cs="Times New Roman"/>
        </w:rPr>
      </w:pPr>
      <w:proofErr w:type="spellStart"/>
      <w:r w:rsidRPr="007263E1">
        <w:rPr>
          <w:rFonts w:ascii="Times New Roman" w:hAnsi="Times New Roman" w:cs="Times New Roman"/>
        </w:rPr>
        <w:t>Barret</w:t>
      </w:r>
      <w:proofErr w:type="spellEnd"/>
      <w:r w:rsidRPr="007263E1">
        <w:rPr>
          <w:rFonts w:ascii="Times New Roman" w:hAnsi="Times New Roman" w:cs="Times New Roman"/>
        </w:rPr>
        <w:t xml:space="preserve"> A. M. Prognosis. In Settle John A. D. Principles and Practice of Burns Management. 1</w:t>
      </w:r>
      <w:r w:rsidRPr="007263E1">
        <w:rPr>
          <w:rFonts w:ascii="Times New Roman" w:hAnsi="Times New Roman" w:cs="Times New Roman"/>
          <w:vertAlign w:val="superscript"/>
        </w:rPr>
        <w:t>st</w:t>
      </w:r>
      <w:r w:rsidRPr="007263E1">
        <w:rPr>
          <w:rFonts w:ascii="Times New Roman" w:hAnsi="Times New Roman" w:cs="Times New Roman"/>
        </w:rPr>
        <w:t xml:space="preserve"> ed. Leeds. UK. 1996. p.29-41.</w:t>
      </w:r>
    </w:p>
    <w:p w14:paraId="67A5DF63" w14:textId="77777777" w:rsidR="00F32831" w:rsidRPr="007263E1" w:rsidRDefault="00F32831" w:rsidP="00F32831">
      <w:pPr>
        <w:pStyle w:val="ListParagraph"/>
        <w:numPr>
          <w:ilvl w:val="0"/>
          <w:numId w:val="2"/>
        </w:numPr>
        <w:jc w:val="both"/>
        <w:rPr>
          <w:rFonts w:ascii="Times New Roman" w:hAnsi="Times New Roman" w:cs="Times New Roman"/>
        </w:rPr>
      </w:pPr>
      <w:r w:rsidRPr="007263E1">
        <w:rPr>
          <w:rFonts w:ascii="Times New Roman" w:hAnsi="Times New Roman" w:cs="Times New Roman"/>
        </w:rPr>
        <w:t xml:space="preserve">Colin Song. Recent Advances In Burn Management. Seminar Luka </w:t>
      </w:r>
      <w:proofErr w:type="spellStart"/>
      <w:r w:rsidRPr="007263E1">
        <w:rPr>
          <w:rFonts w:ascii="Times New Roman" w:hAnsi="Times New Roman" w:cs="Times New Roman"/>
        </w:rPr>
        <w:t>Bakar</w:t>
      </w:r>
      <w:proofErr w:type="spellEnd"/>
      <w:r w:rsidRPr="007263E1">
        <w:rPr>
          <w:rFonts w:ascii="Times New Roman" w:hAnsi="Times New Roman" w:cs="Times New Roman"/>
        </w:rPr>
        <w:t>. 2005.</w:t>
      </w:r>
    </w:p>
    <w:p w14:paraId="6177C89B" w14:textId="77777777" w:rsidR="00F32831" w:rsidRPr="007263E1" w:rsidRDefault="00F32831" w:rsidP="00F32831">
      <w:pPr>
        <w:pStyle w:val="ListParagraph"/>
        <w:numPr>
          <w:ilvl w:val="0"/>
          <w:numId w:val="2"/>
        </w:numPr>
        <w:jc w:val="both"/>
        <w:rPr>
          <w:rFonts w:ascii="Times New Roman" w:hAnsi="Times New Roman" w:cs="Times New Roman"/>
        </w:rPr>
      </w:pPr>
      <w:proofErr w:type="spellStart"/>
      <w:r w:rsidRPr="007263E1">
        <w:rPr>
          <w:rFonts w:ascii="Times New Roman" w:hAnsi="Times New Roman" w:cs="Times New Roman"/>
        </w:rPr>
        <w:t>Demling</w:t>
      </w:r>
      <w:proofErr w:type="spellEnd"/>
      <w:r w:rsidRPr="007263E1">
        <w:rPr>
          <w:rFonts w:ascii="Times New Roman" w:hAnsi="Times New Roman" w:cs="Times New Roman"/>
        </w:rPr>
        <w:t xml:space="preserve"> R.H. Pathophysiological Changes after Cutaneous Burns and Approach to Initial Resuscitation. In </w:t>
      </w:r>
      <w:proofErr w:type="spellStart"/>
      <w:r w:rsidRPr="007263E1">
        <w:rPr>
          <w:rFonts w:ascii="Times New Roman" w:hAnsi="Times New Roman" w:cs="Times New Roman"/>
        </w:rPr>
        <w:t>Martyn</w:t>
      </w:r>
      <w:proofErr w:type="spellEnd"/>
      <w:r w:rsidRPr="007263E1">
        <w:rPr>
          <w:rFonts w:ascii="Times New Roman" w:hAnsi="Times New Roman" w:cs="Times New Roman"/>
        </w:rPr>
        <w:t xml:space="preserve"> J.A.J. Acute Management of the Burned Patient. Philadelphia. 1990. p.12-23.</w:t>
      </w:r>
    </w:p>
    <w:p w14:paraId="4B57D4E0" w14:textId="77777777" w:rsidR="00F32831" w:rsidRPr="007263E1" w:rsidRDefault="00F32831" w:rsidP="00F32831">
      <w:pPr>
        <w:pStyle w:val="ListParagraph"/>
        <w:numPr>
          <w:ilvl w:val="0"/>
          <w:numId w:val="2"/>
        </w:numPr>
        <w:jc w:val="both"/>
        <w:rPr>
          <w:rFonts w:ascii="Times New Roman" w:hAnsi="Times New Roman" w:cs="Times New Roman"/>
        </w:rPr>
      </w:pPr>
      <w:r w:rsidRPr="007263E1">
        <w:rPr>
          <w:rFonts w:ascii="Times New Roman" w:hAnsi="Times New Roman" w:cs="Times New Roman"/>
          <w:bCs/>
        </w:rPr>
        <w:t xml:space="preserve">Klein Matthew B. </w:t>
      </w:r>
      <w:r w:rsidRPr="007263E1">
        <w:rPr>
          <w:rFonts w:ascii="Times New Roman" w:hAnsi="Times New Roman" w:cs="Times New Roman"/>
        </w:rPr>
        <w:t xml:space="preserve">Thermal, Chemical, and Electrical Injuries. In </w:t>
      </w:r>
      <w:r w:rsidRPr="007263E1">
        <w:rPr>
          <w:rFonts w:ascii="Times New Roman" w:hAnsi="Times New Roman" w:cs="Times New Roman"/>
          <w:bCs/>
        </w:rPr>
        <w:t>Charles H. Thorne.</w:t>
      </w:r>
      <w:r w:rsidRPr="007263E1">
        <w:rPr>
          <w:rFonts w:ascii="Times New Roman" w:hAnsi="Times New Roman" w:cs="Times New Roman"/>
        </w:rPr>
        <w:t xml:space="preserve"> </w:t>
      </w:r>
      <w:proofErr w:type="spellStart"/>
      <w:r w:rsidRPr="007263E1">
        <w:rPr>
          <w:rFonts w:ascii="Times New Roman" w:hAnsi="Times New Roman" w:cs="Times New Roman"/>
        </w:rPr>
        <w:t>Grabb’s</w:t>
      </w:r>
      <w:proofErr w:type="spellEnd"/>
      <w:r w:rsidRPr="007263E1">
        <w:rPr>
          <w:rFonts w:ascii="Times New Roman" w:hAnsi="Times New Roman" w:cs="Times New Roman"/>
        </w:rPr>
        <w:t xml:space="preserve"> And Smith’s Plastic Surgery. 6</w:t>
      </w:r>
      <w:r w:rsidRPr="007263E1">
        <w:rPr>
          <w:rFonts w:ascii="Times New Roman" w:hAnsi="Times New Roman" w:cs="Times New Roman"/>
          <w:vertAlign w:val="superscript"/>
        </w:rPr>
        <w:t>th</w:t>
      </w:r>
      <w:r w:rsidRPr="007263E1">
        <w:rPr>
          <w:rFonts w:ascii="Times New Roman" w:hAnsi="Times New Roman" w:cs="Times New Roman"/>
        </w:rPr>
        <w:t xml:space="preserve"> Ed. </w:t>
      </w:r>
      <w:proofErr w:type="gramStart"/>
      <w:r w:rsidRPr="007263E1">
        <w:rPr>
          <w:rFonts w:ascii="Times New Roman" w:hAnsi="Times New Roman" w:cs="Times New Roman"/>
          <w:bCs/>
        </w:rPr>
        <w:t>Philadelphia</w:t>
      </w:r>
      <w:r w:rsidRPr="007263E1">
        <w:rPr>
          <w:rFonts w:ascii="Times New Roman" w:hAnsi="Times New Roman" w:cs="Times New Roman"/>
        </w:rPr>
        <w:t xml:space="preserve"> .</w:t>
      </w:r>
      <w:proofErr w:type="gramEnd"/>
      <w:r w:rsidRPr="007263E1">
        <w:rPr>
          <w:rFonts w:ascii="Times New Roman" w:hAnsi="Times New Roman" w:cs="Times New Roman"/>
        </w:rPr>
        <w:t xml:space="preserve"> 2007. p.132-49.</w:t>
      </w:r>
    </w:p>
    <w:p w14:paraId="038E64CE" w14:textId="77777777" w:rsidR="00F32831" w:rsidRPr="007263E1" w:rsidRDefault="00F32831" w:rsidP="00F32831">
      <w:pPr>
        <w:pStyle w:val="ListParagraph"/>
        <w:numPr>
          <w:ilvl w:val="0"/>
          <w:numId w:val="2"/>
        </w:numPr>
        <w:jc w:val="both"/>
        <w:rPr>
          <w:rFonts w:ascii="Times New Roman" w:hAnsi="Times New Roman" w:cs="Times New Roman"/>
        </w:rPr>
      </w:pPr>
      <w:r w:rsidRPr="007263E1">
        <w:rPr>
          <w:rFonts w:ascii="Times New Roman" w:hAnsi="Times New Roman" w:cs="Times New Roman"/>
        </w:rPr>
        <w:t xml:space="preserve">Lawrence J.C. Burn and Scald: </w:t>
      </w:r>
      <w:proofErr w:type="spellStart"/>
      <w:r w:rsidRPr="007263E1">
        <w:rPr>
          <w:rFonts w:ascii="Times New Roman" w:hAnsi="Times New Roman" w:cs="Times New Roman"/>
        </w:rPr>
        <w:t>Aetiology</w:t>
      </w:r>
      <w:proofErr w:type="spellEnd"/>
      <w:r w:rsidRPr="007263E1">
        <w:rPr>
          <w:rFonts w:ascii="Times New Roman" w:hAnsi="Times New Roman" w:cs="Times New Roman"/>
        </w:rPr>
        <w:t xml:space="preserve"> and Prevention. In Settle John A. D. Principles and Practice of Burns Management. 1</w:t>
      </w:r>
      <w:r w:rsidRPr="007263E1">
        <w:rPr>
          <w:rFonts w:ascii="Times New Roman" w:hAnsi="Times New Roman" w:cs="Times New Roman"/>
          <w:vertAlign w:val="superscript"/>
        </w:rPr>
        <w:t>st</w:t>
      </w:r>
      <w:r w:rsidRPr="007263E1">
        <w:rPr>
          <w:rFonts w:ascii="Times New Roman" w:hAnsi="Times New Roman" w:cs="Times New Roman"/>
        </w:rPr>
        <w:t xml:space="preserve"> ed. Leeds. UK. 1996. p.3-25.</w:t>
      </w:r>
    </w:p>
    <w:p w14:paraId="08BDD4A2" w14:textId="77777777" w:rsidR="00F32831" w:rsidRPr="007263E1" w:rsidRDefault="00F32831" w:rsidP="00F32831">
      <w:pPr>
        <w:pStyle w:val="ListParagraph"/>
        <w:numPr>
          <w:ilvl w:val="0"/>
          <w:numId w:val="2"/>
        </w:numPr>
        <w:jc w:val="both"/>
        <w:rPr>
          <w:rFonts w:ascii="Times New Roman" w:hAnsi="Times New Roman" w:cs="Times New Roman"/>
        </w:rPr>
      </w:pPr>
      <w:r w:rsidRPr="007263E1">
        <w:rPr>
          <w:rFonts w:ascii="Times New Roman" w:hAnsi="Times New Roman" w:cs="Times New Roman"/>
        </w:rPr>
        <w:t xml:space="preserve">Marianne E. </w:t>
      </w:r>
      <w:proofErr w:type="spellStart"/>
      <w:r w:rsidRPr="007263E1">
        <w:rPr>
          <w:rFonts w:ascii="Times New Roman" w:hAnsi="Times New Roman" w:cs="Times New Roman"/>
        </w:rPr>
        <w:t>Cinat</w:t>
      </w:r>
      <w:proofErr w:type="spellEnd"/>
      <w:r w:rsidRPr="007263E1">
        <w:rPr>
          <w:rFonts w:ascii="Times New Roman" w:hAnsi="Times New Roman" w:cs="Times New Roman"/>
        </w:rPr>
        <w:t xml:space="preserve">, Melissa M. Smith. Acute Burn Management. In </w:t>
      </w:r>
      <w:proofErr w:type="spellStart"/>
      <w:r w:rsidRPr="007263E1">
        <w:rPr>
          <w:rFonts w:ascii="Times New Roman" w:hAnsi="Times New Roman" w:cs="Times New Roman"/>
        </w:rPr>
        <w:t>Achauer</w:t>
      </w:r>
      <w:proofErr w:type="spellEnd"/>
      <w:r w:rsidRPr="007263E1">
        <w:rPr>
          <w:rFonts w:ascii="Times New Roman" w:hAnsi="Times New Roman" w:cs="Times New Roman"/>
        </w:rPr>
        <w:t xml:space="preserve"> and </w:t>
      </w:r>
      <w:proofErr w:type="spellStart"/>
      <w:r w:rsidRPr="007263E1">
        <w:rPr>
          <w:rFonts w:ascii="Times New Roman" w:hAnsi="Times New Roman" w:cs="Times New Roman"/>
        </w:rPr>
        <w:t>Sood’s</w:t>
      </w:r>
      <w:proofErr w:type="spellEnd"/>
      <w:r w:rsidRPr="007263E1">
        <w:rPr>
          <w:rFonts w:ascii="Times New Roman" w:hAnsi="Times New Roman" w:cs="Times New Roman"/>
        </w:rPr>
        <w:t xml:space="preserve"> Burn Surgery Reconstruction and R</w:t>
      </w:r>
      <w:r w:rsidR="006F3C33">
        <w:rPr>
          <w:rFonts w:ascii="Times New Roman" w:hAnsi="Times New Roman" w:cs="Times New Roman"/>
        </w:rPr>
        <w:t>e</w:t>
      </w:r>
      <w:r w:rsidRPr="007263E1">
        <w:rPr>
          <w:rFonts w:ascii="Times New Roman" w:hAnsi="Times New Roman" w:cs="Times New Roman"/>
        </w:rPr>
        <w:t>habilitation. 1</w:t>
      </w:r>
      <w:r w:rsidRPr="007263E1">
        <w:rPr>
          <w:rFonts w:ascii="Times New Roman" w:hAnsi="Times New Roman" w:cs="Times New Roman"/>
          <w:vertAlign w:val="superscript"/>
        </w:rPr>
        <w:t>st</w:t>
      </w:r>
      <w:r w:rsidRPr="007263E1">
        <w:rPr>
          <w:rFonts w:ascii="Times New Roman" w:hAnsi="Times New Roman" w:cs="Times New Roman"/>
        </w:rPr>
        <w:t xml:space="preserve"> ed. China. 2006. p.50-76.</w:t>
      </w:r>
    </w:p>
    <w:p w14:paraId="7592FB41" w14:textId="77777777" w:rsidR="00F32831" w:rsidRPr="007263E1" w:rsidRDefault="00F32831" w:rsidP="00F32831">
      <w:pPr>
        <w:pStyle w:val="ListParagraph"/>
        <w:numPr>
          <w:ilvl w:val="0"/>
          <w:numId w:val="2"/>
        </w:numPr>
        <w:jc w:val="both"/>
        <w:rPr>
          <w:rFonts w:ascii="Times New Roman" w:hAnsi="Times New Roman" w:cs="Times New Roman"/>
        </w:rPr>
      </w:pPr>
      <w:r w:rsidRPr="007263E1">
        <w:rPr>
          <w:rFonts w:ascii="Times New Roman" w:hAnsi="Times New Roman" w:cs="Times New Roman"/>
        </w:rPr>
        <w:t xml:space="preserve">M. </w:t>
      </w:r>
      <w:proofErr w:type="spellStart"/>
      <w:r w:rsidRPr="007263E1">
        <w:rPr>
          <w:rFonts w:ascii="Times New Roman" w:hAnsi="Times New Roman" w:cs="Times New Roman"/>
        </w:rPr>
        <w:t>Sjaifuddin</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Noer</w:t>
      </w:r>
      <w:proofErr w:type="spellEnd"/>
      <w:r w:rsidRPr="007263E1">
        <w:rPr>
          <w:rFonts w:ascii="Times New Roman" w:hAnsi="Times New Roman" w:cs="Times New Roman"/>
        </w:rPr>
        <w:t xml:space="preserve">. </w:t>
      </w:r>
      <w:bookmarkStart w:id="0" w:name="_GoBack"/>
      <w:proofErr w:type="spellStart"/>
      <w:r w:rsidRPr="007263E1">
        <w:rPr>
          <w:rFonts w:ascii="Times New Roman" w:hAnsi="Times New Roman" w:cs="Times New Roman"/>
        </w:rPr>
        <w:t>Penanganan</w:t>
      </w:r>
      <w:proofErr w:type="spellEnd"/>
      <w:r w:rsidRPr="007263E1">
        <w:rPr>
          <w:rFonts w:ascii="Times New Roman" w:hAnsi="Times New Roman" w:cs="Times New Roman"/>
        </w:rPr>
        <w:t xml:space="preserve"> Luka </w:t>
      </w:r>
      <w:proofErr w:type="spellStart"/>
      <w:r w:rsidRPr="007263E1">
        <w:rPr>
          <w:rFonts w:ascii="Times New Roman" w:hAnsi="Times New Roman" w:cs="Times New Roman"/>
        </w:rPr>
        <w:t>Bakar</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Akut</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Buku</w:t>
      </w:r>
      <w:proofErr w:type="spellEnd"/>
      <w:r w:rsidRPr="007263E1">
        <w:rPr>
          <w:rFonts w:ascii="Times New Roman" w:hAnsi="Times New Roman" w:cs="Times New Roman"/>
        </w:rPr>
        <w:t xml:space="preserve"> </w:t>
      </w:r>
      <w:proofErr w:type="spellStart"/>
      <w:r w:rsidRPr="007263E1">
        <w:rPr>
          <w:rFonts w:ascii="Times New Roman" w:hAnsi="Times New Roman" w:cs="Times New Roman"/>
        </w:rPr>
        <w:t>Penanganan</w:t>
      </w:r>
      <w:proofErr w:type="spellEnd"/>
      <w:r w:rsidRPr="007263E1">
        <w:rPr>
          <w:rFonts w:ascii="Times New Roman" w:hAnsi="Times New Roman" w:cs="Times New Roman"/>
        </w:rPr>
        <w:t xml:space="preserve"> </w:t>
      </w:r>
      <w:r>
        <w:rPr>
          <w:rFonts w:ascii="Times New Roman" w:hAnsi="Times New Roman" w:cs="Times New Roman"/>
        </w:rPr>
        <w:t xml:space="preserve">Luka </w:t>
      </w:r>
      <w:proofErr w:type="spellStart"/>
      <w:r>
        <w:rPr>
          <w:rFonts w:ascii="Times New Roman" w:hAnsi="Times New Roman" w:cs="Times New Roman"/>
        </w:rPr>
        <w:t>Bakar</w:t>
      </w:r>
      <w:bookmarkEnd w:id="0"/>
      <w:proofErr w:type="spellEnd"/>
      <w:r w:rsidRPr="007263E1">
        <w:rPr>
          <w:rFonts w:ascii="Times New Roman" w:hAnsi="Times New Roman" w:cs="Times New Roman"/>
        </w:rPr>
        <w:t>. Surabaya. 2006. p.3-22.</w:t>
      </w:r>
    </w:p>
    <w:p w14:paraId="22BDD37E" w14:textId="77777777" w:rsidR="00F32831" w:rsidRPr="007263E1" w:rsidRDefault="00F32831" w:rsidP="00F32831">
      <w:pPr>
        <w:pStyle w:val="ListParagraph"/>
        <w:numPr>
          <w:ilvl w:val="0"/>
          <w:numId w:val="2"/>
        </w:numPr>
        <w:jc w:val="both"/>
        <w:rPr>
          <w:rFonts w:ascii="Times New Roman" w:hAnsi="Times New Roman" w:cs="Times New Roman"/>
        </w:rPr>
      </w:pPr>
      <w:r w:rsidRPr="007263E1">
        <w:rPr>
          <w:rFonts w:ascii="Times New Roman" w:hAnsi="Times New Roman" w:cs="Times New Roman"/>
        </w:rPr>
        <w:t>Settle John A. D. General Management. In Settle John A. D. Principles and Practice of Burns Management. 1</w:t>
      </w:r>
      <w:r w:rsidRPr="007263E1">
        <w:rPr>
          <w:rFonts w:ascii="Times New Roman" w:hAnsi="Times New Roman" w:cs="Times New Roman"/>
          <w:vertAlign w:val="superscript"/>
        </w:rPr>
        <w:t>st</w:t>
      </w:r>
      <w:r w:rsidRPr="007263E1">
        <w:rPr>
          <w:rFonts w:ascii="Times New Roman" w:hAnsi="Times New Roman" w:cs="Times New Roman"/>
        </w:rPr>
        <w:t xml:space="preserve"> ed. Leeds. UK. 1996. p.223-41.</w:t>
      </w:r>
    </w:p>
    <w:p w14:paraId="67674B62" w14:textId="77777777" w:rsidR="00F32831" w:rsidRDefault="00F32831" w:rsidP="00F32831">
      <w:pPr>
        <w:pStyle w:val="ListParagraph"/>
        <w:numPr>
          <w:ilvl w:val="0"/>
          <w:numId w:val="2"/>
        </w:numPr>
        <w:jc w:val="both"/>
        <w:rPr>
          <w:rFonts w:ascii="Times New Roman" w:hAnsi="Times New Roman" w:cs="Times New Roman"/>
        </w:rPr>
      </w:pPr>
      <w:proofErr w:type="spellStart"/>
      <w:r w:rsidRPr="007263E1">
        <w:rPr>
          <w:rFonts w:ascii="Times New Roman" w:hAnsi="Times New Roman" w:cs="Times New Roman"/>
        </w:rPr>
        <w:t>Strongin</w:t>
      </w:r>
      <w:proofErr w:type="spellEnd"/>
      <w:r w:rsidRPr="007263E1">
        <w:rPr>
          <w:rFonts w:ascii="Times New Roman" w:hAnsi="Times New Roman" w:cs="Times New Roman"/>
        </w:rPr>
        <w:t xml:space="preserve"> J. Hales C. Pulmonary Disorders in Burn Patient. In </w:t>
      </w:r>
      <w:proofErr w:type="spellStart"/>
      <w:r w:rsidRPr="007263E1">
        <w:rPr>
          <w:rFonts w:ascii="Times New Roman" w:hAnsi="Times New Roman" w:cs="Times New Roman"/>
        </w:rPr>
        <w:t>Martyn</w:t>
      </w:r>
      <w:proofErr w:type="spellEnd"/>
      <w:r w:rsidRPr="007263E1">
        <w:rPr>
          <w:rFonts w:ascii="Times New Roman" w:hAnsi="Times New Roman" w:cs="Times New Roman"/>
        </w:rPr>
        <w:t xml:space="preserve"> J.A.J. Acute Management of the Burned Patient. Philadelphia. 1990. p.25-42.</w:t>
      </w:r>
    </w:p>
    <w:p w14:paraId="00C3DACD" w14:textId="77777777" w:rsidR="00F32831" w:rsidRPr="00F32831" w:rsidRDefault="00F32831" w:rsidP="00F32831">
      <w:pPr>
        <w:pStyle w:val="ListParagraph"/>
        <w:numPr>
          <w:ilvl w:val="0"/>
          <w:numId w:val="2"/>
        </w:numPr>
        <w:jc w:val="both"/>
        <w:rPr>
          <w:rFonts w:ascii="Times New Roman" w:hAnsi="Times New Roman" w:cs="Times New Roman"/>
        </w:rPr>
      </w:pPr>
      <w:proofErr w:type="spellStart"/>
      <w:r w:rsidRPr="00F32831">
        <w:rPr>
          <w:rFonts w:ascii="Times New Roman" w:hAnsi="Times New Roman" w:cs="Times New Roman"/>
          <w:lang w:val="en-GB"/>
        </w:rPr>
        <w:t>Yefta</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Moenadjat</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Petunjuk</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Praktis</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Penatalaksanaan</w:t>
      </w:r>
      <w:proofErr w:type="spellEnd"/>
      <w:r w:rsidRPr="00F32831">
        <w:rPr>
          <w:rFonts w:ascii="Times New Roman" w:hAnsi="Times New Roman" w:cs="Times New Roman"/>
          <w:lang w:val="en-GB"/>
        </w:rPr>
        <w:t xml:space="preserve"> Luka </w:t>
      </w:r>
      <w:proofErr w:type="spellStart"/>
      <w:r w:rsidRPr="00F32831">
        <w:rPr>
          <w:rFonts w:ascii="Times New Roman" w:hAnsi="Times New Roman" w:cs="Times New Roman"/>
          <w:lang w:val="en-GB"/>
        </w:rPr>
        <w:t>Bakar</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Komite</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Medik</w:t>
      </w:r>
      <w:proofErr w:type="spellEnd"/>
      <w:r w:rsidRPr="00F32831">
        <w:rPr>
          <w:rFonts w:ascii="Times New Roman" w:hAnsi="Times New Roman" w:cs="Times New Roman"/>
          <w:lang w:val="en-GB"/>
        </w:rPr>
        <w:t xml:space="preserve"> </w:t>
      </w:r>
      <w:proofErr w:type="spellStart"/>
      <w:r w:rsidRPr="00F32831">
        <w:rPr>
          <w:rFonts w:ascii="Times New Roman" w:hAnsi="Times New Roman" w:cs="Times New Roman"/>
          <w:lang w:val="en-GB"/>
        </w:rPr>
        <w:t>Asosiasi</w:t>
      </w:r>
      <w:proofErr w:type="spellEnd"/>
      <w:r w:rsidRPr="00F32831">
        <w:rPr>
          <w:rFonts w:ascii="Times New Roman" w:hAnsi="Times New Roman" w:cs="Times New Roman"/>
          <w:lang w:val="en-GB"/>
        </w:rPr>
        <w:t xml:space="preserve"> Luka </w:t>
      </w:r>
      <w:proofErr w:type="spellStart"/>
      <w:r w:rsidRPr="00F32831">
        <w:rPr>
          <w:rFonts w:ascii="Times New Roman" w:hAnsi="Times New Roman" w:cs="Times New Roman"/>
          <w:lang w:val="en-GB"/>
        </w:rPr>
        <w:t>Bakar</w:t>
      </w:r>
      <w:proofErr w:type="spellEnd"/>
      <w:r w:rsidRPr="00F32831">
        <w:rPr>
          <w:rFonts w:ascii="Times New Roman" w:hAnsi="Times New Roman" w:cs="Times New Roman"/>
          <w:lang w:val="en-GB"/>
        </w:rPr>
        <w:t xml:space="preserve"> Indonesia. </w:t>
      </w:r>
    </w:p>
    <w:p w14:paraId="74ADA909" w14:textId="77777777" w:rsidR="00F32831" w:rsidRPr="00F32831" w:rsidRDefault="00F32831" w:rsidP="00F32831">
      <w:pPr>
        <w:pStyle w:val="ListParagraph"/>
        <w:jc w:val="left"/>
        <w:rPr>
          <w:rFonts w:ascii="Times New Roman" w:hAnsi="Times New Roman" w:cs="Times New Roman"/>
        </w:rPr>
        <w:sectPr w:rsidR="00F32831" w:rsidRPr="00F32831" w:rsidSect="00B9091E">
          <w:type w:val="continuous"/>
          <w:pgSz w:w="11907" w:h="16839" w:code="9"/>
          <w:pgMar w:top="1440" w:right="1440" w:bottom="1440" w:left="1440" w:header="720" w:footer="720" w:gutter="0"/>
          <w:cols w:num="2" w:space="720"/>
          <w:docGrid w:linePitch="360"/>
        </w:sectPr>
      </w:pPr>
      <w:r w:rsidRPr="00F32831">
        <w:rPr>
          <w:rFonts w:ascii="Times New Roman" w:hAnsi="Times New Roman" w:cs="Times New Roman"/>
          <w:lang w:val="en-GB"/>
        </w:rPr>
        <w:t>Jakarta. 2005.</w:t>
      </w:r>
    </w:p>
    <w:p w14:paraId="453AB1CF" w14:textId="77777777" w:rsidR="00A167D6" w:rsidRDefault="00A167D6" w:rsidP="00F32831">
      <w:pPr>
        <w:jc w:val="both"/>
        <w:rPr>
          <w:rFonts w:ascii="Times New Roman" w:hAnsi="Times New Roman" w:cs="Times New Roman"/>
        </w:rPr>
      </w:pPr>
    </w:p>
    <w:p w14:paraId="77C43B05" w14:textId="77777777" w:rsidR="00F32831" w:rsidRPr="00F32831" w:rsidRDefault="00F32831" w:rsidP="00F32831">
      <w:pPr>
        <w:jc w:val="both"/>
        <w:rPr>
          <w:rFonts w:ascii="Times New Roman" w:hAnsi="Times New Roman" w:cs="Times New Roman"/>
        </w:rPr>
      </w:pPr>
    </w:p>
    <w:sectPr w:rsidR="00F32831" w:rsidRPr="00F32831" w:rsidSect="00B50CA1">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CA00" w14:textId="77777777" w:rsidR="005410A1" w:rsidRDefault="005410A1" w:rsidP="005465FC">
      <w:r>
        <w:separator/>
      </w:r>
    </w:p>
  </w:endnote>
  <w:endnote w:type="continuationSeparator" w:id="0">
    <w:p w14:paraId="67561E7B" w14:textId="77777777" w:rsidR="005410A1" w:rsidRDefault="005410A1" w:rsidP="0054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n-ea">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3391"/>
      <w:docPartObj>
        <w:docPartGallery w:val="Page Numbers (Bottom of Page)"/>
        <w:docPartUnique/>
      </w:docPartObj>
    </w:sdtPr>
    <w:sdtEndPr/>
    <w:sdtContent>
      <w:p w14:paraId="380D8182" w14:textId="77777777" w:rsidR="005465FC" w:rsidRDefault="006F3C33">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92E3669" w14:textId="77777777" w:rsidR="005465FC" w:rsidRDefault="005465F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7AB9B" w14:textId="77777777" w:rsidR="005410A1" w:rsidRDefault="005410A1" w:rsidP="005465FC">
      <w:r>
        <w:separator/>
      </w:r>
    </w:p>
  </w:footnote>
  <w:footnote w:type="continuationSeparator" w:id="0">
    <w:p w14:paraId="22B332C6" w14:textId="77777777" w:rsidR="005410A1" w:rsidRDefault="005410A1" w:rsidP="005465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27F"/>
    <w:multiLevelType w:val="hybridMultilevel"/>
    <w:tmpl w:val="D44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401CE1"/>
    <w:multiLevelType w:val="hybridMultilevel"/>
    <w:tmpl w:val="F7F4EF1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5EF35F7A"/>
    <w:multiLevelType w:val="hybridMultilevel"/>
    <w:tmpl w:val="F46EEBC8"/>
    <w:lvl w:ilvl="0" w:tplc="50204DA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6A2D"/>
    <w:rsid w:val="00001C52"/>
    <w:rsid w:val="00061D6C"/>
    <w:rsid w:val="00085C7C"/>
    <w:rsid w:val="000B4F6B"/>
    <w:rsid w:val="001D66C6"/>
    <w:rsid w:val="002F0658"/>
    <w:rsid w:val="002F79B6"/>
    <w:rsid w:val="00300A40"/>
    <w:rsid w:val="00304D11"/>
    <w:rsid w:val="0032281E"/>
    <w:rsid w:val="00342484"/>
    <w:rsid w:val="003600D7"/>
    <w:rsid w:val="003944E9"/>
    <w:rsid w:val="003A4D9F"/>
    <w:rsid w:val="003C1089"/>
    <w:rsid w:val="003D1951"/>
    <w:rsid w:val="003F60D1"/>
    <w:rsid w:val="0040686A"/>
    <w:rsid w:val="004245FA"/>
    <w:rsid w:val="00494E41"/>
    <w:rsid w:val="004E44AA"/>
    <w:rsid w:val="00517687"/>
    <w:rsid w:val="005410A1"/>
    <w:rsid w:val="005465FC"/>
    <w:rsid w:val="005B4C17"/>
    <w:rsid w:val="006076C6"/>
    <w:rsid w:val="00631AE2"/>
    <w:rsid w:val="006518BF"/>
    <w:rsid w:val="00652396"/>
    <w:rsid w:val="006634C1"/>
    <w:rsid w:val="006759BB"/>
    <w:rsid w:val="006964FD"/>
    <w:rsid w:val="006B78BE"/>
    <w:rsid w:val="006D778D"/>
    <w:rsid w:val="006F3C33"/>
    <w:rsid w:val="006F5201"/>
    <w:rsid w:val="007263E1"/>
    <w:rsid w:val="007A0150"/>
    <w:rsid w:val="007E5468"/>
    <w:rsid w:val="007F2701"/>
    <w:rsid w:val="00802B8D"/>
    <w:rsid w:val="00821F9B"/>
    <w:rsid w:val="00836B1D"/>
    <w:rsid w:val="00837F78"/>
    <w:rsid w:val="008538E7"/>
    <w:rsid w:val="008732DC"/>
    <w:rsid w:val="0087745C"/>
    <w:rsid w:val="008B32FF"/>
    <w:rsid w:val="00907C9F"/>
    <w:rsid w:val="00947DCA"/>
    <w:rsid w:val="009527F8"/>
    <w:rsid w:val="00963A53"/>
    <w:rsid w:val="00967221"/>
    <w:rsid w:val="00A1157A"/>
    <w:rsid w:val="00A167D6"/>
    <w:rsid w:val="00A24525"/>
    <w:rsid w:val="00A6445C"/>
    <w:rsid w:val="00A8388D"/>
    <w:rsid w:val="00AD4155"/>
    <w:rsid w:val="00AF0CE0"/>
    <w:rsid w:val="00AF4FE1"/>
    <w:rsid w:val="00B11043"/>
    <w:rsid w:val="00B50CA1"/>
    <w:rsid w:val="00B675C0"/>
    <w:rsid w:val="00B834F6"/>
    <w:rsid w:val="00B9091E"/>
    <w:rsid w:val="00BB6A2D"/>
    <w:rsid w:val="00BE6388"/>
    <w:rsid w:val="00BF4D9C"/>
    <w:rsid w:val="00C23607"/>
    <w:rsid w:val="00C27765"/>
    <w:rsid w:val="00C3077A"/>
    <w:rsid w:val="00C52C10"/>
    <w:rsid w:val="00C654CF"/>
    <w:rsid w:val="00D03B17"/>
    <w:rsid w:val="00D11F78"/>
    <w:rsid w:val="00D13514"/>
    <w:rsid w:val="00D574C8"/>
    <w:rsid w:val="00D80FA1"/>
    <w:rsid w:val="00D91057"/>
    <w:rsid w:val="00DA0D07"/>
    <w:rsid w:val="00DA557F"/>
    <w:rsid w:val="00DC1079"/>
    <w:rsid w:val="00DF7134"/>
    <w:rsid w:val="00E2600D"/>
    <w:rsid w:val="00E34BC8"/>
    <w:rsid w:val="00E65D0E"/>
    <w:rsid w:val="00E66A68"/>
    <w:rsid w:val="00E86840"/>
    <w:rsid w:val="00EA6459"/>
    <w:rsid w:val="00EE0248"/>
    <w:rsid w:val="00F32831"/>
    <w:rsid w:val="00F821AE"/>
    <w:rsid w:val="00F954AB"/>
    <w:rsid w:val="00FE6A7F"/>
    <w:rsid w:val="00FF3F8F"/>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3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86A"/>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BF4D9C"/>
    <w:pPr>
      <w:ind w:left="720"/>
      <w:contextualSpacing/>
    </w:pPr>
  </w:style>
  <w:style w:type="table" w:styleId="TableGrid">
    <w:name w:val="Table Grid"/>
    <w:basedOn w:val="TableNormal"/>
    <w:uiPriority w:val="59"/>
    <w:rsid w:val="00BF4D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157A"/>
    <w:rPr>
      <w:rFonts w:ascii="Tahoma" w:hAnsi="Tahoma" w:cs="Tahoma"/>
      <w:sz w:val="16"/>
      <w:szCs w:val="16"/>
    </w:rPr>
  </w:style>
  <w:style w:type="character" w:customStyle="1" w:styleId="BalloonTextChar">
    <w:name w:val="Balloon Text Char"/>
    <w:basedOn w:val="DefaultParagraphFont"/>
    <w:link w:val="BalloonText"/>
    <w:uiPriority w:val="99"/>
    <w:semiHidden/>
    <w:rsid w:val="00A1157A"/>
    <w:rPr>
      <w:rFonts w:ascii="Tahoma" w:hAnsi="Tahoma" w:cs="Tahoma"/>
      <w:sz w:val="16"/>
      <w:szCs w:val="16"/>
    </w:rPr>
  </w:style>
  <w:style w:type="paragraph" w:styleId="Header">
    <w:name w:val="header"/>
    <w:basedOn w:val="Normal"/>
    <w:link w:val="HeaderChar"/>
    <w:uiPriority w:val="99"/>
    <w:semiHidden/>
    <w:unhideWhenUsed/>
    <w:rsid w:val="005465FC"/>
    <w:pPr>
      <w:tabs>
        <w:tab w:val="center" w:pos="4680"/>
        <w:tab w:val="right" w:pos="9360"/>
      </w:tabs>
    </w:pPr>
  </w:style>
  <w:style w:type="character" w:customStyle="1" w:styleId="HeaderChar">
    <w:name w:val="Header Char"/>
    <w:basedOn w:val="DefaultParagraphFont"/>
    <w:link w:val="Header"/>
    <w:uiPriority w:val="99"/>
    <w:semiHidden/>
    <w:rsid w:val="005465FC"/>
  </w:style>
  <w:style w:type="paragraph" w:styleId="Footer">
    <w:name w:val="footer"/>
    <w:basedOn w:val="Normal"/>
    <w:link w:val="FooterChar"/>
    <w:uiPriority w:val="99"/>
    <w:unhideWhenUsed/>
    <w:rsid w:val="005465FC"/>
    <w:pPr>
      <w:tabs>
        <w:tab w:val="center" w:pos="4680"/>
        <w:tab w:val="right" w:pos="9360"/>
      </w:tabs>
    </w:pPr>
  </w:style>
  <w:style w:type="character" w:customStyle="1" w:styleId="FooterChar">
    <w:name w:val="Footer Char"/>
    <w:basedOn w:val="DefaultParagraphFont"/>
    <w:link w:val="Footer"/>
    <w:uiPriority w:val="99"/>
    <w:rsid w:val="005465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663">
      <w:bodyDiv w:val="1"/>
      <w:marLeft w:val="0"/>
      <w:marRight w:val="0"/>
      <w:marTop w:val="0"/>
      <w:marBottom w:val="0"/>
      <w:divBdr>
        <w:top w:val="none" w:sz="0" w:space="0" w:color="auto"/>
        <w:left w:val="none" w:sz="0" w:space="0" w:color="auto"/>
        <w:bottom w:val="none" w:sz="0" w:space="0" w:color="auto"/>
        <w:right w:val="none" w:sz="0" w:space="0" w:color="auto"/>
      </w:divBdr>
    </w:div>
    <w:div w:id="359400004">
      <w:bodyDiv w:val="1"/>
      <w:marLeft w:val="0"/>
      <w:marRight w:val="0"/>
      <w:marTop w:val="0"/>
      <w:marBottom w:val="0"/>
      <w:divBdr>
        <w:top w:val="none" w:sz="0" w:space="0" w:color="auto"/>
        <w:left w:val="none" w:sz="0" w:space="0" w:color="auto"/>
        <w:bottom w:val="none" w:sz="0" w:space="0" w:color="auto"/>
        <w:right w:val="none" w:sz="0" w:space="0" w:color="auto"/>
      </w:divBdr>
    </w:div>
    <w:div w:id="12581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chart" Target="charts/chart7.xml"/><Relationship Id="rId17" Type="http://schemas.openxmlformats.org/officeDocument/2006/relationships/chart" Target="charts/chart8.xml"/><Relationship Id="rId18" Type="http://schemas.openxmlformats.org/officeDocument/2006/relationships/chart" Target="charts/chart9.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toshiba\Desktop\Profil%20Luka%20Bakar%20di%20RS%20Dr%20Soetomo\Diagram%20Profil%20Luka%20Bakar%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b="1" i="0" baseline="0"/>
              <a:t>Cause of Flame based on Age Group</a:t>
            </a:r>
            <a:endParaRPr lang="en-US" sz="14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Sheet1!$A$68</c:f>
              <c:strCache>
                <c:ptCount val="1"/>
                <c:pt idx="0">
                  <c:v>2007</c:v>
                </c:pt>
              </c:strCache>
            </c:strRef>
          </c:tx>
          <c:invertIfNegative val="0"/>
          <c:cat>
            <c:strRef>
              <c:f>Sheet1!$B$67:$G$67</c:f>
              <c:strCache>
                <c:ptCount val="6"/>
                <c:pt idx="0">
                  <c:v>0-1 y.o</c:v>
                </c:pt>
                <c:pt idx="1">
                  <c:v>1-5 y.o</c:v>
                </c:pt>
                <c:pt idx="2">
                  <c:v>5-15 y.o</c:v>
                </c:pt>
                <c:pt idx="3">
                  <c:v>15-25 y.o</c:v>
                </c:pt>
                <c:pt idx="4">
                  <c:v>25-65 y.o</c:v>
                </c:pt>
                <c:pt idx="5">
                  <c:v>&gt;65 y.o</c:v>
                </c:pt>
              </c:strCache>
            </c:strRef>
          </c:cat>
          <c:val>
            <c:numRef>
              <c:f>Sheet1!$B$68:$G$68</c:f>
              <c:numCache>
                <c:formatCode>General</c:formatCode>
                <c:ptCount val="6"/>
                <c:pt idx="0">
                  <c:v>0.0</c:v>
                </c:pt>
                <c:pt idx="1">
                  <c:v>2.0</c:v>
                </c:pt>
                <c:pt idx="2">
                  <c:v>4.0</c:v>
                </c:pt>
                <c:pt idx="3">
                  <c:v>16.0</c:v>
                </c:pt>
                <c:pt idx="4">
                  <c:v>26.0</c:v>
                </c:pt>
                <c:pt idx="5">
                  <c:v>2.0</c:v>
                </c:pt>
              </c:numCache>
            </c:numRef>
          </c:val>
        </c:ser>
        <c:ser>
          <c:idx val="1"/>
          <c:order val="1"/>
          <c:tx>
            <c:strRef>
              <c:f>Sheet1!$A$69</c:f>
              <c:strCache>
                <c:ptCount val="1"/>
                <c:pt idx="0">
                  <c:v>2008</c:v>
                </c:pt>
              </c:strCache>
            </c:strRef>
          </c:tx>
          <c:invertIfNegative val="0"/>
          <c:cat>
            <c:strRef>
              <c:f>Sheet1!$B$67:$G$67</c:f>
              <c:strCache>
                <c:ptCount val="6"/>
                <c:pt idx="0">
                  <c:v>0-1 y.o</c:v>
                </c:pt>
                <c:pt idx="1">
                  <c:v>1-5 y.o</c:v>
                </c:pt>
                <c:pt idx="2">
                  <c:v>5-15 y.o</c:v>
                </c:pt>
                <c:pt idx="3">
                  <c:v>15-25 y.o</c:v>
                </c:pt>
                <c:pt idx="4">
                  <c:v>25-65 y.o</c:v>
                </c:pt>
                <c:pt idx="5">
                  <c:v>&gt;65 y.o</c:v>
                </c:pt>
              </c:strCache>
            </c:strRef>
          </c:cat>
          <c:val>
            <c:numRef>
              <c:f>Sheet1!$B$69:$G$69</c:f>
              <c:numCache>
                <c:formatCode>General</c:formatCode>
                <c:ptCount val="6"/>
                <c:pt idx="0">
                  <c:v>0.0</c:v>
                </c:pt>
                <c:pt idx="1">
                  <c:v>0.0</c:v>
                </c:pt>
                <c:pt idx="2">
                  <c:v>2.0</c:v>
                </c:pt>
                <c:pt idx="3">
                  <c:v>23.0</c:v>
                </c:pt>
                <c:pt idx="4">
                  <c:v>44.0</c:v>
                </c:pt>
                <c:pt idx="5">
                  <c:v>6.0</c:v>
                </c:pt>
              </c:numCache>
            </c:numRef>
          </c:val>
        </c:ser>
        <c:ser>
          <c:idx val="2"/>
          <c:order val="2"/>
          <c:tx>
            <c:strRef>
              <c:f>Sheet1!$A$70</c:f>
              <c:strCache>
                <c:ptCount val="1"/>
                <c:pt idx="0">
                  <c:v>2009</c:v>
                </c:pt>
              </c:strCache>
            </c:strRef>
          </c:tx>
          <c:invertIfNegative val="0"/>
          <c:cat>
            <c:strRef>
              <c:f>Sheet1!$B$67:$G$67</c:f>
              <c:strCache>
                <c:ptCount val="6"/>
                <c:pt idx="0">
                  <c:v>0-1 y.o</c:v>
                </c:pt>
                <c:pt idx="1">
                  <c:v>1-5 y.o</c:v>
                </c:pt>
                <c:pt idx="2">
                  <c:v>5-15 y.o</c:v>
                </c:pt>
                <c:pt idx="3">
                  <c:v>15-25 y.o</c:v>
                </c:pt>
                <c:pt idx="4">
                  <c:v>25-65 y.o</c:v>
                </c:pt>
                <c:pt idx="5">
                  <c:v>&gt;65 y.o</c:v>
                </c:pt>
              </c:strCache>
            </c:strRef>
          </c:cat>
          <c:val>
            <c:numRef>
              <c:f>Sheet1!$B$70:$G$70</c:f>
              <c:numCache>
                <c:formatCode>General</c:formatCode>
                <c:ptCount val="6"/>
                <c:pt idx="0">
                  <c:v>0.0</c:v>
                </c:pt>
                <c:pt idx="1">
                  <c:v>1.0</c:v>
                </c:pt>
                <c:pt idx="2">
                  <c:v>2.0</c:v>
                </c:pt>
                <c:pt idx="3">
                  <c:v>15.0</c:v>
                </c:pt>
                <c:pt idx="4">
                  <c:v>40.0</c:v>
                </c:pt>
                <c:pt idx="5">
                  <c:v>2.0</c:v>
                </c:pt>
              </c:numCache>
            </c:numRef>
          </c:val>
        </c:ser>
        <c:ser>
          <c:idx val="3"/>
          <c:order val="3"/>
          <c:tx>
            <c:strRef>
              <c:f>Sheet1!$A$71</c:f>
              <c:strCache>
                <c:ptCount val="1"/>
                <c:pt idx="0">
                  <c:v>2010</c:v>
                </c:pt>
              </c:strCache>
            </c:strRef>
          </c:tx>
          <c:invertIfNegative val="0"/>
          <c:cat>
            <c:strRef>
              <c:f>Sheet1!$B$67:$G$67</c:f>
              <c:strCache>
                <c:ptCount val="6"/>
                <c:pt idx="0">
                  <c:v>0-1 y.o</c:v>
                </c:pt>
                <c:pt idx="1">
                  <c:v>1-5 y.o</c:v>
                </c:pt>
                <c:pt idx="2">
                  <c:v>5-15 y.o</c:v>
                </c:pt>
                <c:pt idx="3">
                  <c:v>15-25 y.o</c:v>
                </c:pt>
                <c:pt idx="4">
                  <c:v>25-65 y.o</c:v>
                </c:pt>
                <c:pt idx="5">
                  <c:v>&gt;65 y.o</c:v>
                </c:pt>
              </c:strCache>
            </c:strRef>
          </c:cat>
          <c:val>
            <c:numRef>
              <c:f>Sheet1!$B$71:$G$71</c:f>
              <c:numCache>
                <c:formatCode>General</c:formatCode>
                <c:ptCount val="6"/>
                <c:pt idx="0">
                  <c:v>0.0</c:v>
                </c:pt>
                <c:pt idx="1">
                  <c:v>6.0</c:v>
                </c:pt>
                <c:pt idx="2">
                  <c:v>6.0</c:v>
                </c:pt>
                <c:pt idx="3">
                  <c:v>13.0</c:v>
                </c:pt>
                <c:pt idx="4">
                  <c:v>38.0</c:v>
                </c:pt>
                <c:pt idx="5">
                  <c:v>7.0</c:v>
                </c:pt>
              </c:numCache>
            </c:numRef>
          </c:val>
        </c:ser>
        <c:ser>
          <c:idx val="4"/>
          <c:order val="4"/>
          <c:tx>
            <c:strRef>
              <c:f>Sheet1!$A$72</c:f>
              <c:strCache>
                <c:ptCount val="1"/>
                <c:pt idx="0">
                  <c:v>2011</c:v>
                </c:pt>
              </c:strCache>
            </c:strRef>
          </c:tx>
          <c:invertIfNegative val="0"/>
          <c:cat>
            <c:strRef>
              <c:f>Sheet1!$B$67:$G$67</c:f>
              <c:strCache>
                <c:ptCount val="6"/>
                <c:pt idx="0">
                  <c:v>0-1 y.o</c:v>
                </c:pt>
                <c:pt idx="1">
                  <c:v>1-5 y.o</c:v>
                </c:pt>
                <c:pt idx="2">
                  <c:v>5-15 y.o</c:v>
                </c:pt>
                <c:pt idx="3">
                  <c:v>15-25 y.o</c:v>
                </c:pt>
                <c:pt idx="4">
                  <c:v>25-65 y.o</c:v>
                </c:pt>
                <c:pt idx="5">
                  <c:v>&gt;65 y.o</c:v>
                </c:pt>
              </c:strCache>
            </c:strRef>
          </c:cat>
          <c:val>
            <c:numRef>
              <c:f>Sheet1!$B$72:$G$72</c:f>
              <c:numCache>
                <c:formatCode>General</c:formatCode>
                <c:ptCount val="6"/>
                <c:pt idx="0">
                  <c:v>0.0</c:v>
                </c:pt>
                <c:pt idx="1">
                  <c:v>0.0</c:v>
                </c:pt>
                <c:pt idx="2">
                  <c:v>5.0</c:v>
                </c:pt>
                <c:pt idx="3">
                  <c:v>14.0</c:v>
                </c:pt>
                <c:pt idx="4">
                  <c:v>42.0</c:v>
                </c:pt>
                <c:pt idx="5">
                  <c:v>5.0</c:v>
                </c:pt>
              </c:numCache>
            </c:numRef>
          </c:val>
        </c:ser>
        <c:dLbls>
          <c:showLegendKey val="0"/>
          <c:showVal val="0"/>
          <c:showCatName val="0"/>
          <c:showSerName val="0"/>
          <c:showPercent val="0"/>
          <c:showBubbleSize val="0"/>
        </c:dLbls>
        <c:gapWidth val="150"/>
        <c:shape val="box"/>
        <c:axId val="408311528"/>
        <c:axId val="408314760"/>
        <c:axId val="0"/>
      </c:bar3DChart>
      <c:catAx>
        <c:axId val="408311528"/>
        <c:scaling>
          <c:orientation val="minMax"/>
        </c:scaling>
        <c:delete val="0"/>
        <c:axPos val="b"/>
        <c:majorTickMark val="none"/>
        <c:minorTickMark val="none"/>
        <c:tickLblPos val="nextTo"/>
        <c:txPr>
          <a:bodyPr/>
          <a:lstStyle/>
          <a:p>
            <a:pPr>
              <a:defRPr lang="en-US"/>
            </a:pPr>
            <a:endParaRPr lang="en-US"/>
          </a:p>
        </c:txPr>
        <c:crossAx val="408314760"/>
        <c:crosses val="autoZero"/>
        <c:auto val="1"/>
        <c:lblAlgn val="ctr"/>
        <c:lblOffset val="100"/>
        <c:noMultiLvlLbl val="0"/>
      </c:catAx>
      <c:valAx>
        <c:axId val="408314760"/>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8311528"/>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US" sz="1400" b="1" i="0" u="none" strike="noStrike" baseline="0"/>
              <a:t>Cause of Electricity based on Age Group</a:t>
            </a:r>
            <a:endParaRPr lang="en-US" sz="1400" b="1" i="0" baseline="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Sheet1!$A$85</c:f>
              <c:strCache>
                <c:ptCount val="1"/>
                <c:pt idx="0">
                  <c:v>2007</c:v>
                </c:pt>
              </c:strCache>
            </c:strRef>
          </c:tx>
          <c:invertIfNegative val="0"/>
          <c:cat>
            <c:strRef>
              <c:f>Sheet1!$B$84:$G$84</c:f>
              <c:strCache>
                <c:ptCount val="6"/>
                <c:pt idx="0">
                  <c:v>0-1 y.o</c:v>
                </c:pt>
                <c:pt idx="1">
                  <c:v>1-5 y.o</c:v>
                </c:pt>
                <c:pt idx="2">
                  <c:v>5-15 y.o</c:v>
                </c:pt>
                <c:pt idx="3">
                  <c:v>15-25 y.o</c:v>
                </c:pt>
                <c:pt idx="4">
                  <c:v>25-65 y.o</c:v>
                </c:pt>
                <c:pt idx="5">
                  <c:v>&gt;65 y.o</c:v>
                </c:pt>
              </c:strCache>
            </c:strRef>
          </c:cat>
          <c:val>
            <c:numRef>
              <c:f>Sheet1!$B$85:$G$85</c:f>
              <c:numCache>
                <c:formatCode>General</c:formatCode>
                <c:ptCount val="6"/>
                <c:pt idx="0">
                  <c:v>0.0</c:v>
                </c:pt>
                <c:pt idx="1">
                  <c:v>0.0</c:v>
                </c:pt>
                <c:pt idx="2">
                  <c:v>0.0</c:v>
                </c:pt>
                <c:pt idx="3">
                  <c:v>4.0</c:v>
                </c:pt>
                <c:pt idx="4">
                  <c:v>28.0</c:v>
                </c:pt>
                <c:pt idx="5">
                  <c:v>0.0</c:v>
                </c:pt>
              </c:numCache>
            </c:numRef>
          </c:val>
        </c:ser>
        <c:ser>
          <c:idx val="1"/>
          <c:order val="1"/>
          <c:tx>
            <c:strRef>
              <c:f>Sheet1!$A$86</c:f>
              <c:strCache>
                <c:ptCount val="1"/>
                <c:pt idx="0">
                  <c:v>2008</c:v>
                </c:pt>
              </c:strCache>
            </c:strRef>
          </c:tx>
          <c:invertIfNegative val="0"/>
          <c:cat>
            <c:strRef>
              <c:f>Sheet1!$B$84:$G$84</c:f>
              <c:strCache>
                <c:ptCount val="6"/>
                <c:pt idx="0">
                  <c:v>0-1 y.o</c:v>
                </c:pt>
                <c:pt idx="1">
                  <c:v>1-5 y.o</c:v>
                </c:pt>
                <c:pt idx="2">
                  <c:v>5-15 y.o</c:v>
                </c:pt>
                <c:pt idx="3">
                  <c:v>15-25 y.o</c:v>
                </c:pt>
                <c:pt idx="4">
                  <c:v>25-65 y.o</c:v>
                </c:pt>
                <c:pt idx="5">
                  <c:v>&gt;65 y.o</c:v>
                </c:pt>
              </c:strCache>
            </c:strRef>
          </c:cat>
          <c:val>
            <c:numRef>
              <c:f>Sheet1!$B$86:$G$86</c:f>
              <c:numCache>
                <c:formatCode>General</c:formatCode>
                <c:ptCount val="6"/>
                <c:pt idx="0">
                  <c:v>0.0</c:v>
                </c:pt>
                <c:pt idx="1">
                  <c:v>0.0</c:v>
                </c:pt>
                <c:pt idx="2">
                  <c:v>0.0</c:v>
                </c:pt>
                <c:pt idx="3">
                  <c:v>6.0</c:v>
                </c:pt>
                <c:pt idx="4">
                  <c:v>27.0</c:v>
                </c:pt>
                <c:pt idx="5">
                  <c:v>0.0</c:v>
                </c:pt>
              </c:numCache>
            </c:numRef>
          </c:val>
        </c:ser>
        <c:ser>
          <c:idx val="2"/>
          <c:order val="2"/>
          <c:tx>
            <c:strRef>
              <c:f>Sheet1!$A$87</c:f>
              <c:strCache>
                <c:ptCount val="1"/>
                <c:pt idx="0">
                  <c:v>2009</c:v>
                </c:pt>
              </c:strCache>
            </c:strRef>
          </c:tx>
          <c:invertIfNegative val="0"/>
          <c:cat>
            <c:strRef>
              <c:f>Sheet1!$B$84:$G$84</c:f>
              <c:strCache>
                <c:ptCount val="6"/>
                <c:pt idx="0">
                  <c:v>0-1 y.o</c:v>
                </c:pt>
                <c:pt idx="1">
                  <c:v>1-5 y.o</c:v>
                </c:pt>
                <c:pt idx="2">
                  <c:v>5-15 y.o</c:v>
                </c:pt>
                <c:pt idx="3">
                  <c:v>15-25 y.o</c:v>
                </c:pt>
                <c:pt idx="4">
                  <c:v>25-65 y.o</c:v>
                </c:pt>
                <c:pt idx="5">
                  <c:v>&gt;65 y.o</c:v>
                </c:pt>
              </c:strCache>
            </c:strRef>
          </c:cat>
          <c:val>
            <c:numRef>
              <c:f>Sheet1!$B$87:$G$87</c:f>
              <c:numCache>
                <c:formatCode>General</c:formatCode>
                <c:ptCount val="6"/>
                <c:pt idx="0">
                  <c:v>0.0</c:v>
                </c:pt>
                <c:pt idx="1">
                  <c:v>0.0</c:v>
                </c:pt>
                <c:pt idx="2">
                  <c:v>3.0</c:v>
                </c:pt>
                <c:pt idx="3">
                  <c:v>5.0</c:v>
                </c:pt>
                <c:pt idx="4">
                  <c:v>29.0</c:v>
                </c:pt>
                <c:pt idx="5">
                  <c:v>0.0</c:v>
                </c:pt>
              </c:numCache>
            </c:numRef>
          </c:val>
        </c:ser>
        <c:ser>
          <c:idx val="3"/>
          <c:order val="3"/>
          <c:tx>
            <c:strRef>
              <c:f>Sheet1!$A$88</c:f>
              <c:strCache>
                <c:ptCount val="1"/>
                <c:pt idx="0">
                  <c:v>2010</c:v>
                </c:pt>
              </c:strCache>
            </c:strRef>
          </c:tx>
          <c:invertIfNegative val="0"/>
          <c:cat>
            <c:strRef>
              <c:f>Sheet1!$B$84:$G$84</c:f>
              <c:strCache>
                <c:ptCount val="6"/>
                <c:pt idx="0">
                  <c:v>0-1 y.o</c:v>
                </c:pt>
                <c:pt idx="1">
                  <c:v>1-5 y.o</c:v>
                </c:pt>
                <c:pt idx="2">
                  <c:v>5-15 y.o</c:v>
                </c:pt>
                <c:pt idx="3">
                  <c:v>15-25 y.o</c:v>
                </c:pt>
                <c:pt idx="4">
                  <c:v>25-65 y.o</c:v>
                </c:pt>
                <c:pt idx="5">
                  <c:v>&gt;65 y.o</c:v>
                </c:pt>
              </c:strCache>
            </c:strRef>
          </c:cat>
          <c:val>
            <c:numRef>
              <c:f>Sheet1!$B$88:$G$88</c:f>
              <c:numCache>
                <c:formatCode>General</c:formatCode>
                <c:ptCount val="6"/>
                <c:pt idx="0">
                  <c:v>0.0</c:v>
                </c:pt>
                <c:pt idx="1">
                  <c:v>0.0</c:v>
                </c:pt>
                <c:pt idx="2">
                  <c:v>0.0</c:v>
                </c:pt>
                <c:pt idx="3">
                  <c:v>6.0</c:v>
                </c:pt>
                <c:pt idx="4">
                  <c:v>34.0</c:v>
                </c:pt>
                <c:pt idx="5">
                  <c:v>0.0</c:v>
                </c:pt>
              </c:numCache>
            </c:numRef>
          </c:val>
        </c:ser>
        <c:ser>
          <c:idx val="4"/>
          <c:order val="4"/>
          <c:tx>
            <c:strRef>
              <c:f>Sheet1!$A$89</c:f>
              <c:strCache>
                <c:ptCount val="1"/>
                <c:pt idx="0">
                  <c:v>2011</c:v>
                </c:pt>
              </c:strCache>
            </c:strRef>
          </c:tx>
          <c:invertIfNegative val="0"/>
          <c:cat>
            <c:strRef>
              <c:f>Sheet1!$B$84:$G$84</c:f>
              <c:strCache>
                <c:ptCount val="6"/>
                <c:pt idx="0">
                  <c:v>0-1 y.o</c:v>
                </c:pt>
                <c:pt idx="1">
                  <c:v>1-5 y.o</c:v>
                </c:pt>
                <c:pt idx="2">
                  <c:v>5-15 y.o</c:v>
                </c:pt>
                <c:pt idx="3">
                  <c:v>15-25 y.o</c:v>
                </c:pt>
                <c:pt idx="4">
                  <c:v>25-65 y.o</c:v>
                </c:pt>
                <c:pt idx="5">
                  <c:v>&gt;65 y.o</c:v>
                </c:pt>
              </c:strCache>
            </c:strRef>
          </c:cat>
          <c:val>
            <c:numRef>
              <c:f>Sheet1!$B$89:$G$89</c:f>
              <c:numCache>
                <c:formatCode>General</c:formatCode>
                <c:ptCount val="6"/>
                <c:pt idx="0">
                  <c:v>0.0</c:v>
                </c:pt>
                <c:pt idx="1">
                  <c:v>1.0</c:v>
                </c:pt>
                <c:pt idx="2">
                  <c:v>0.0</c:v>
                </c:pt>
                <c:pt idx="3">
                  <c:v>5.0</c:v>
                </c:pt>
                <c:pt idx="4">
                  <c:v>26.0</c:v>
                </c:pt>
                <c:pt idx="5">
                  <c:v>0.0</c:v>
                </c:pt>
              </c:numCache>
            </c:numRef>
          </c:val>
        </c:ser>
        <c:dLbls>
          <c:showLegendKey val="0"/>
          <c:showVal val="0"/>
          <c:showCatName val="0"/>
          <c:showSerName val="0"/>
          <c:showPercent val="0"/>
          <c:showBubbleSize val="0"/>
        </c:dLbls>
        <c:gapWidth val="150"/>
        <c:shape val="box"/>
        <c:axId val="408392856"/>
        <c:axId val="408396088"/>
        <c:axId val="0"/>
      </c:bar3DChart>
      <c:catAx>
        <c:axId val="408392856"/>
        <c:scaling>
          <c:orientation val="minMax"/>
        </c:scaling>
        <c:delete val="0"/>
        <c:axPos val="b"/>
        <c:majorTickMark val="none"/>
        <c:minorTickMark val="none"/>
        <c:tickLblPos val="nextTo"/>
        <c:txPr>
          <a:bodyPr/>
          <a:lstStyle/>
          <a:p>
            <a:pPr>
              <a:defRPr lang="en-US"/>
            </a:pPr>
            <a:endParaRPr lang="en-US"/>
          </a:p>
        </c:txPr>
        <c:crossAx val="408396088"/>
        <c:crosses val="autoZero"/>
        <c:auto val="1"/>
        <c:lblAlgn val="ctr"/>
        <c:lblOffset val="100"/>
        <c:noMultiLvlLbl val="0"/>
      </c:catAx>
      <c:valAx>
        <c:axId val="408396088"/>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8392856"/>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US" sz="1400" b="1" i="0" u="none" strike="noStrike" baseline="0"/>
              <a:t>Cause of Scald based on Age Group</a:t>
            </a:r>
            <a:endParaRPr lang="en-US" sz="1400" b="1" i="0" baseline="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Sheet1!$A$102</c:f>
              <c:strCache>
                <c:ptCount val="1"/>
                <c:pt idx="0">
                  <c:v>2007</c:v>
                </c:pt>
              </c:strCache>
            </c:strRef>
          </c:tx>
          <c:invertIfNegative val="0"/>
          <c:cat>
            <c:strRef>
              <c:f>Sheet1!$B$101:$G$101</c:f>
              <c:strCache>
                <c:ptCount val="6"/>
                <c:pt idx="0">
                  <c:v>0-1 y.o</c:v>
                </c:pt>
                <c:pt idx="1">
                  <c:v>1-5 y.o</c:v>
                </c:pt>
                <c:pt idx="2">
                  <c:v>5-15 y.o</c:v>
                </c:pt>
                <c:pt idx="3">
                  <c:v>15-25 y.o</c:v>
                </c:pt>
                <c:pt idx="4">
                  <c:v>25-65 y.o</c:v>
                </c:pt>
                <c:pt idx="5">
                  <c:v>&gt;65 y.o</c:v>
                </c:pt>
              </c:strCache>
            </c:strRef>
          </c:cat>
          <c:val>
            <c:numRef>
              <c:f>Sheet1!$B$102:$G$102</c:f>
              <c:numCache>
                <c:formatCode>General</c:formatCode>
                <c:ptCount val="6"/>
                <c:pt idx="0">
                  <c:v>8.0</c:v>
                </c:pt>
                <c:pt idx="1">
                  <c:v>18.0</c:v>
                </c:pt>
                <c:pt idx="2">
                  <c:v>7.0</c:v>
                </c:pt>
                <c:pt idx="3">
                  <c:v>3.0</c:v>
                </c:pt>
                <c:pt idx="4">
                  <c:v>2.0</c:v>
                </c:pt>
                <c:pt idx="5">
                  <c:v>0.0</c:v>
                </c:pt>
              </c:numCache>
            </c:numRef>
          </c:val>
        </c:ser>
        <c:ser>
          <c:idx val="1"/>
          <c:order val="1"/>
          <c:tx>
            <c:strRef>
              <c:f>Sheet1!$A$103</c:f>
              <c:strCache>
                <c:ptCount val="1"/>
                <c:pt idx="0">
                  <c:v>2008</c:v>
                </c:pt>
              </c:strCache>
            </c:strRef>
          </c:tx>
          <c:invertIfNegative val="0"/>
          <c:cat>
            <c:strRef>
              <c:f>Sheet1!$B$101:$G$101</c:f>
              <c:strCache>
                <c:ptCount val="6"/>
                <c:pt idx="0">
                  <c:v>0-1 y.o</c:v>
                </c:pt>
                <c:pt idx="1">
                  <c:v>1-5 y.o</c:v>
                </c:pt>
                <c:pt idx="2">
                  <c:v>5-15 y.o</c:v>
                </c:pt>
                <c:pt idx="3">
                  <c:v>15-25 y.o</c:v>
                </c:pt>
                <c:pt idx="4">
                  <c:v>25-65 y.o</c:v>
                </c:pt>
                <c:pt idx="5">
                  <c:v>&gt;65 y.o</c:v>
                </c:pt>
              </c:strCache>
            </c:strRef>
          </c:cat>
          <c:val>
            <c:numRef>
              <c:f>Sheet1!$B$103:$G$103</c:f>
              <c:numCache>
                <c:formatCode>General</c:formatCode>
                <c:ptCount val="6"/>
                <c:pt idx="0">
                  <c:v>6.0</c:v>
                </c:pt>
                <c:pt idx="1">
                  <c:v>15.0</c:v>
                </c:pt>
                <c:pt idx="2">
                  <c:v>7.0</c:v>
                </c:pt>
                <c:pt idx="3">
                  <c:v>1.0</c:v>
                </c:pt>
                <c:pt idx="4">
                  <c:v>1.0</c:v>
                </c:pt>
                <c:pt idx="5">
                  <c:v>1.0</c:v>
                </c:pt>
              </c:numCache>
            </c:numRef>
          </c:val>
        </c:ser>
        <c:ser>
          <c:idx val="2"/>
          <c:order val="2"/>
          <c:tx>
            <c:strRef>
              <c:f>Sheet1!$A$104</c:f>
              <c:strCache>
                <c:ptCount val="1"/>
                <c:pt idx="0">
                  <c:v>2009</c:v>
                </c:pt>
              </c:strCache>
            </c:strRef>
          </c:tx>
          <c:invertIfNegative val="0"/>
          <c:cat>
            <c:strRef>
              <c:f>Sheet1!$B$101:$G$101</c:f>
              <c:strCache>
                <c:ptCount val="6"/>
                <c:pt idx="0">
                  <c:v>0-1 y.o</c:v>
                </c:pt>
                <c:pt idx="1">
                  <c:v>1-5 y.o</c:v>
                </c:pt>
                <c:pt idx="2">
                  <c:v>5-15 y.o</c:v>
                </c:pt>
                <c:pt idx="3">
                  <c:v>15-25 y.o</c:v>
                </c:pt>
                <c:pt idx="4">
                  <c:v>25-65 y.o</c:v>
                </c:pt>
                <c:pt idx="5">
                  <c:v>&gt;65 y.o</c:v>
                </c:pt>
              </c:strCache>
            </c:strRef>
          </c:cat>
          <c:val>
            <c:numRef>
              <c:f>Sheet1!$B$104:$G$104</c:f>
              <c:numCache>
                <c:formatCode>General</c:formatCode>
                <c:ptCount val="6"/>
                <c:pt idx="0">
                  <c:v>6.0</c:v>
                </c:pt>
                <c:pt idx="1">
                  <c:v>13.0</c:v>
                </c:pt>
                <c:pt idx="2">
                  <c:v>3.0</c:v>
                </c:pt>
                <c:pt idx="3">
                  <c:v>2.0</c:v>
                </c:pt>
                <c:pt idx="4">
                  <c:v>2.0</c:v>
                </c:pt>
                <c:pt idx="5">
                  <c:v>0.0</c:v>
                </c:pt>
              </c:numCache>
            </c:numRef>
          </c:val>
        </c:ser>
        <c:ser>
          <c:idx val="3"/>
          <c:order val="3"/>
          <c:tx>
            <c:strRef>
              <c:f>Sheet1!$A$105</c:f>
              <c:strCache>
                <c:ptCount val="1"/>
                <c:pt idx="0">
                  <c:v>2010</c:v>
                </c:pt>
              </c:strCache>
            </c:strRef>
          </c:tx>
          <c:invertIfNegative val="0"/>
          <c:cat>
            <c:strRef>
              <c:f>Sheet1!$B$101:$G$101</c:f>
              <c:strCache>
                <c:ptCount val="6"/>
                <c:pt idx="0">
                  <c:v>0-1 y.o</c:v>
                </c:pt>
                <c:pt idx="1">
                  <c:v>1-5 y.o</c:v>
                </c:pt>
                <c:pt idx="2">
                  <c:v>5-15 y.o</c:v>
                </c:pt>
                <c:pt idx="3">
                  <c:v>15-25 y.o</c:v>
                </c:pt>
                <c:pt idx="4">
                  <c:v>25-65 y.o</c:v>
                </c:pt>
                <c:pt idx="5">
                  <c:v>&gt;65 y.o</c:v>
                </c:pt>
              </c:strCache>
            </c:strRef>
          </c:cat>
          <c:val>
            <c:numRef>
              <c:f>Sheet1!$B$105:$G$105</c:f>
              <c:numCache>
                <c:formatCode>General</c:formatCode>
                <c:ptCount val="6"/>
                <c:pt idx="0">
                  <c:v>3.0</c:v>
                </c:pt>
                <c:pt idx="1">
                  <c:v>13.0</c:v>
                </c:pt>
                <c:pt idx="2">
                  <c:v>2.0</c:v>
                </c:pt>
                <c:pt idx="3">
                  <c:v>1.0</c:v>
                </c:pt>
                <c:pt idx="4">
                  <c:v>5.0</c:v>
                </c:pt>
                <c:pt idx="5">
                  <c:v>0.0</c:v>
                </c:pt>
              </c:numCache>
            </c:numRef>
          </c:val>
        </c:ser>
        <c:ser>
          <c:idx val="4"/>
          <c:order val="4"/>
          <c:tx>
            <c:strRef>
              <c:f>Sheet1!$A$106</c:f>
              <c:strCache>
                <c:ptCount val="1"/>
                <c:pt idx="0">
                  <c:v>2011</c:v>
                </c:pt>
              </c:strCache>
            </c:strRef>
          </c:tx>
          <c:invertIfNegative val="0"/>
          <c:cat>
            <c:strRef>
              <c:f>Sheet1!$B$101:$G$101</c:f>
              <c:strCache>
                <c:ptCount val="6"/>
                <c:pt idx="0">
                  <c:v>0-1 y.o</c:v>
                </c:pt>
                <c:pt idx="1">
                  <c:v>1-5 y.o</c:v>
                </c:pt>
                <c:pt idx="2">
                  <c:v>5-15 y.o</c:v>
                </c:pt>
                <c:pt idx="3">
                  <c:v>15-25 y.o</c:v>
                </c:pt>
                <c:pt idx="4">
                  <c:v>25-65 y.o</c:v>
                </c:pt>
                <c:pt idx="5">
                  <c:v>&gt;65 y.o</c:v>
                </c:pt>
              </c:strCache>
            </c:strRef>
          </c:cat>
          <c:val>
            <c:numRef>
              <c:f>Sheet1!$B$106:$G$106</c:f>
              <c:numCache>
                <c:formatCode>General</c:formatCode>
                <c:ptCount val="6"/>
                <c:pt idx="0">
                  <c:v>6.0</c:v>
                </c:pt>
                <c:pt idx="1">
                  <c:v>17.0</c:v>
                </c:pt>
                <c:pt idx="2">
                  <c:v>3.0</c:v>
                </c:pt>
                <c:pt idx="3">
                  <c:v>4.0</c:v>
                </c:pt>
                <c:pt idx="4">
                  <c:v>13.0</c:v>
                </c:pt>
                <c:pt idx="5">
                  <c:v>2.0</c:v>
                </c:pt>
              </c:numCache>
            </c:numRef>
          </c:val>
        </c:ser>
        <c:dLbls>
          <c:showLegendKey val="0"/>
          <c:showVal val="0"/>
          <c:showCatName val="0"/>
          <c:showSerName val="0"/>
          <c:showPercent val="0"/>
          <c:showBubbleSize val="0"/>
        </c:dLbls>
        <c:gapWidth val="150"/>
        <c:shape val="box"/>
        <c:axId val="406323032"/>
        <c:axId val="406326264"/>
        <c:axId val="0"/>
      </c:bar3DChart>
      <c:catAx>
        <c:axId val="406323032"/>
        <c:scaling>
          <c:orientation val="minMax"/>
        </c:scaling>
        <c:delete val="0"/>
        <c:axPos val="b"/>
        <c:majorTickMark val="none"/>
        <c:minorTickMark val="none"/>
        <c:tickLblPos val="nextTo"/>
        <c:txPr>
          <a:bodyPr/>
          <a:lstStyle/>
          <a:p>
            <a:pPr>
              <a:defRPr lang="en-US"/>
            </a:pPr>
            <a:endParaRPr lang="en-US"/>
          </a:p>
        </c:txPr>
        <c:crossAx val="406326264"/>
        <c:crosses val="autoZero"/>
        <c:auto val="1"/>
        <c:lblAlgn val="ctr"/>
        <c:lblOffset val="100"/>
        <c:noMultiLvlLbl val="0"/>
      </c:catAx>
      <c:valAx>
        <c:axId val="406326264"/>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632303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b="1" i="0" u="none" strike="noStrike" baseline="0"/>
              <a:t>Results of Given Treatment based on Burn Etiology</a:t>
            </a:r>
            <a:endParaRPr lang="en-US" sz="14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Sheet1!$C$118</c:f>
              <c:strCache>
                <c:ptCount val="1"/>
                <c:pt idx="0">
                  <c:v>alive</c:v>
                </c:pt>
              </c:strCache>
            </c:strRef>
          </c:tx>
          <c:invertIfNegative val="0"/>
          <c:cat>
            <c:multiLvlStrRef>
              <c:f>Sheet1!$A$119:$B$138</c:f>
              <c:multiLvlStrCache>
                <c:ptCount val="20"/>
                <c:lvl>
                  <c:pt idx="0">
                    <c:v>flame</c:v>
                  </c:pt>
                  <c:pt idx="1">
                    <c:v>electricity</c:v>
                  </c:pt>
                  <c:pt idx="2">
                    <c:v>scald</c:v>
                  </c:pt>
                  <c:pt idx="3">
                    <c:v>chemical agent</c:v>
                  </c:pt>
                  <c:pt idx="4">
                    <c:v>flame</c:v>
                  </c:pt>
                  <c:pt idx="5">
                    <c:v>electricity</c:v>
                  </c:pt>
                  <c:pt idx="6">
                    <c:v>scald</c:v>
                  </c:pt>
                  <c:pt idx="7">
                    <c:v>chemical agent</c:v>
                  </c:pt>
                  <c:pt idx="8">
                    <c:v>flame</c:v>
                  </c:pt>
                  <c:pt idx="9">
                    <c:v>electricity</c:v>
                  </c:pt>
                  <c:pt idx="10">
                    <c:v>scald</c:v>
                  </c:pt>
                  <c:pt idx="11">
                    <c:v>chemical agent</c:v>
                  </c:pt>
                  <c:pt idx="12">
                    <c:v>flame</c:v>
                  </c:pt>
                  <c:pt idx="13">
                    <c:v>electricity</c:v>
                  </c:pt>
                  <c:pt idx="14">
                    <c:v>scald</c:v>
                  </c:pt>
                  <c:pt idx="15">
                    <c:v>chemical agent</c:v>
                  </c:pt>
                  <c:pt idx="16">
                    <c:v>flame</c:v>
                  </c:pt>
                  <c:pt idx="17">
                    <c:v>electricity</c:v>
                  </c:pt>
                  <c:pt idx="18">
                    <c:v>scald</c:v>
                  </c:pt>
                  <c:pt idx="19">
                    <c:v>chemical agent</c:v>
                  </c:pt>
                </c:lvl>
                <c:lvl>
                  <c:pt idx="0">
                    <c:v>2007</c:v>
                  </c:pt>
                  <c:pt idx="4">
                    <c:v>2008</c:v>
                  </c:pt>
                  <c:pt idx="8">
                    <c:v>2009</c:v>
                  </c:pt>
                  <c:pt idx="12">
                    <c:v>2010</c:v>
                  </c:pt>
                  <c:pt idx="16">
                    <c:v>2011</c:v>
                  </c:pt>
                </c:lvl>
              </c:multiLvlStrCache>
            </c:multiLvlStrRef>
          </c:cat>
          <c:val>
            <c:numRef>
              <c:f>Sheet1!$C$119:$C$138</c:f>
              <c:numCache>
                <c:formatCode>General</c:formatCode>
                <c:ptCount val="20"/>
                <c:pt idx="0">
                  <c:v>38.0</c:v>
                </c:pt>
                <c:pt idx="1">
                  <c:v>29.0</c:v>
                </c:pt>
                <c:pt idx="2">
                  <c:v>34.0</c:v>
                </c:pt>
                <c:pt idx="3">
                  <c:v>1.0</c:v>
                </c:pt>
                <c:pt idx="4">
                  <c:v>57.0</c:v>
                </c:pt>
                <c:pt idx="5">
                  <c:v>31.0</c:v>
                </c:pt>
                <c:pt idx="6">
                  <c:v>28.0</c:v>
                </c:pt>
                <c:pt idx="7">
                  <c:v>0.0</c:v>
                </c:pt>
                <c:pt idx="8">
                  <c:v>40.0</c:v>
                </c:pt>
                <c:pt idx="9">
                  <c:v>36.0</c:v>
                </c:pt>
                <c:pt idx="10">
                  <c:v>23.0</c:v>
                </c:pt>
                <c:pt idx="11">
                  <c:v>1.0</c:v>
                </c:pt>
                <c:pt idx="12">
                  <c:v>50.0</c:v>
                </c:pt>
                <c:pt idx="13">
                  <c:v>38.0</c:v>
                </c:pt>
                <c:pt idx="14">
                  <c:v>22.0</c:v>
                </c:pt>
                <c:pt idx="15">
                  <c:v>0.0</c:v>
                </c:pt>
                <c:pt idx="16">
                  <c:v>50.0</c:v>
                </c:pt>
                <c:pt idx="17">
                  <c:v>32.0</c:v>
                </c:pt>
                <c:pt idx="18">
                  <c:v>43.0</c:v>
                </c:pt>
                <c:pt idx="19">
                  <c:v>2.0</c:v>
                </c:pt>
              </c:numCache>
            </c:numRef>
          </c:val>
        </c:ser>
        <c:ser>
          <c:idx val="1"/>
          <c:order val="1"/>
          <c:tx>
            <c:strRef>
              <c:f>Sheet1!$D$118</c:f>
              <c:strCache>
                <c:ptCount val="1"/>
                <c:pt idx="0">
                  <c:v>dead</c:v>
                </c:pt>
              </c:strCache>
            </c:strRef>
          </c:tx>
          <c:invertIfNegative val="0"/>
          <c:cat>
            <c:multiLvlStrRef>
              <c:f>Sheet1!$A$119:$B$138</c:f>
              <c:multiLvlStrCache>
                <c:ptCount val="20"/>
                <c:lvl>
                  <c:pt idx="0">
                    <c:v>flame</c:v>
                  </c:pt>
                  <c:pt idx="1">
                    <c:v>electricity</c:v>
                  </c:pt>
                  <c:pt idx="2">
                    <c:v>scald</c:v>
                  </c:pt>
                  <c:pt idx="3">
                    <c:v>chemical agent</c:v>
                  </c:pt>
                  <c:pt idx="4">
                    <c:v>flame</c:v>
                  </c:pt>
                  <c:pt idx="5">
                    <c:v>electricity</c:v>
                  </c:pt>
                  <c:pt idx="6">
                    <c:v>scald</c:v>
                  </c:pt>
                  <c:pt idx="7">
                    <c:v>chemical agent</c:v>
                  </c:pt>
                  <c:pt idx="8">
                    <c:v>flame</c:v>
                  </c:pt>
                  <c:pt idx="9">
                    <c:v>electricity</c:v>
                  </c:pt>
                  <c:pt idx="10">
                    <c:v>scald</c:v>
                  </c:pt>
                  <c:pt idx="11">
                    <c:v>chemical agent</c:v>
                  </c:pt>
                  <c:pt idx="12">
                    <c:v>flame</c:v>
                  </c:pt>
                  <c:pt idx="13">
                    <c:v>electricity</c:v>
                  </c:pt>
                  <c:pt idx="14">
                    <c:v>scald</c:v>
                  </c:pt>
                  <c:pt idx="15">
                    <c:v>chemical agent</c:v>
                  </c:pt>
                  <c:pt idx="16">
                    <c:v>flame</c:v>
                  </c:pt>
                  <c:pt idx="17">
                    <c:v>electricity</c:v>
                  </c:pt>
                  <c:pt idx="18">
                    <c:v>scald</c:v>
                  </c:pt>
                  <c:pt idx="19">
                    <c:v>chemical agent</c:v>
                  </c:pt>
                </c:lvl>
                <c:lvl>
                  <c:pt idx="0">
                    <c:v>2007</c:v>
                  </c:pt>
                  <c:pt idx="4">
                    <c:v>2008</c:v>
                  </c:pt>
                  <c:pt idx="8">
                    <c:v>2009</c:v>
                  </c:pt>
                  <c:pt idx="12">
                    <c:v>2010</c:v>
                  </c:pt>
                  <c:pt idx="16">
                    <c:v>2011</c:v>
                  </c:pt>
                </c:lvl>
              </c:multiLvlStrCache>
            </c:multiLvlStrRef>
          </c:cat>
          <c:val>
            <c:numRef>
              <c:f>Sheet1!$D$119:$D$138</c:f>
              <c:numCache>
                <c:formatCode>General</c:formatCode>
                <c:ptCount val="20"/>
                <c:pt idx="0">
                  <c:v>9.0</c:v>
                </c:pt>
                <c:pt idx="1">
                  <c:v>1.0</c:v>
                </c:pt>
                <c:pt idx="2">
                  <c:v>3.0</c:v>
                </c:pt>
                <c:pt idx="3">
                  <c:v>1.0</c:v>
                </c:pt>
                <c:pt idx="4">
                  <c:v>18.0</c:v>
                </c:pt>
                <c:pt idx="5">
                  <c:v>2.0</c:v>
                </c:pt>
                <c:pt idx="6">
                  <c:v>1.0</c:v>
                </c:pt>
                <c:pt idx="7">
                  <c:v>0.0</c:v>
                </c:pt>
                <c:pt idx="8">
                  <c:v>19.0</c:v>
                </c:pt>
                <c:pt idx="9">
                  <c:v>1.0</c:v>
                </c:pt>
                <c:pt idx="10">
                  <c:v>2.0</c:v>
                </c:pt>
                <c:pt idx="11">
                  <c:v>0.0</c:v>
                </c:pt>
                <c:pt idx="12">
                  <c:v>20.0</c:v>
                </c:pt>
                <c:pt idx="13">
                  <c:v>1.0</c:v>
                </c:pt>
                <c:pt idx="14">
                  <c:v>2.0</c:v>
                </c:pt>
                <c:pt idx="15">
                  <c:v>0.0</c:v>
                </c:pt>
                <c:pt idx="16">
                  <c:v>14.0</c:v>
                </c:pt>
                <c:pt idx="17">
                  <c:v>0.0</c:v>
                </c:pt>
                <c:pt idx="18">
                  <c:v>1.0</c:v>
                </c:pt>
                <c:pt idx="19">
                  <c:v>0.0</c:v>
                </c:pt>
              </c:numCache>
            </c:numRef>
          </c:val>
        </c:ser>
        <c:ser>
          <c:idx val="2"/>
          <c:order val="2"/>
          <c:tx>
            <c:strRef>
              <c:f>Sheet1!$E$118</c:f>
              <c:strCache>
                <c:ptCount val="1"/>
                <c:pt idx="0">
                  <c:v>forced discharge</c:v>
                </c:pt>
              </c:strCache>
            </c:strRef>
          </c:tx>
          <c:invertIfNegative val="0"/>
          <c:cat>
            <c:multiLvlStrRef>
              <c:f>Sheet1!$A$119:$B$138</c:f>
              <c:multiLvlStrCache>
                <c:ptCount val="20"/>
                <c:lvl>
                  <c:pt idx="0">
                    <c:v>flame</c:v>
                  </c:pt>
                  <c:pt idx="1">
                    <c:v>electricity</c:v>
                  </c:pt>
                  <c:pt idx="2">
                    <c:v>scald</c:v>
                  </c:pt>
                  <c:pt idx="3">
                    <c:v>chemical agent</c:v>
                  </c:pt>
                  <c:pt idx="4">
                    <c:v>flame</c:v>
                  </c:pt>
                  <c:pt idx="5">
                    <c:v>electricity</c:v>
                  </c:pt>
                  <c:pt idx="6">
                    <c:v>scald</c:v>
                  </c:pt>
                  <c:pt idx="7">
                    <c:v>chemical agent</c:v>
                  </c:pt>
                  <c:pt idx="8">
                    <c:v>flame</c:v>
                  </c:pt>
                  <c:pt idx="9">
                    <c:v>electricity</c:v>
                  </c:pt>
                  <c:pt idx="10">
                    <c:v>scald</c:v>
                  </c:pt>
                  <c:pt idx="11">
                    <c:v>chemical agent</c:v>
                  </c:pt>
                  <c:pt idx="12">
                    <c:v>flame</c:v>
                  </c:pt>
                  <c:pt idx="13">
                    <c:v>electricity</c:v>
                  </c:pt>
                  <c:pt idx="14">
                    <c:v>scald</c:v>
                  </c:pt>
                  <c:pt idx="15">
                    <c:v>chemical agent</c:v>
                  </c:pt>
                  <c:pt idx="16">
                    <c:v>flame</c:v>
                  </c:pt>
                  <c:pt idx="17">
                    <c:v>electricity</c:v>
                  </c:pt>
                  <c:pt idx="18">
                    <c:v>scald</c:v>
                  </c:pt>
                  <c:pt idx="19">
                    <c:v>chemical agent</c:v>
                  </c:pt>
                </c:lvl>
                <c:lvl>
                  <c:pt idx="0">
                    <c:v>2007</c:v>
                  </c:pt>
                  <c:pt idx="4">
                    <c:v>2008</c:v>
                  </c:pt>
                  <c:pt idx="8">
                    <c:v>2009</c:v>
                  </c:pt>
                  <c:pt idx="12">
                    <c:v>2010</c:v>
                  </c:pt>
                  <c:pt idx="16">
                    <c:v>2011</c:v>
                  </c:pt>
                </c:lvl>
              </c:multiLvlStrCache>
            </c:multiLvlStrRef>
          </c:cat>
          <c:val>
            <c:numRef>
              <c:f>Sheet1!$E$119:$E$138</c:f>
              <c:numCache>
                <c:formatCode>General</c:formatCode>
                <c:ptCount val="20"/>
                <c:pt idx="0">
                  <c:v>3.0</c:v>
                </c:pt>
                <c:pt idx="1">
                  <c:v>2.0</c:v>
                </c:pt>
                <c:pt idx="2">
                  <c:v>1.0</c:v>
                </c:pt>
                <c:pt idx="3">
                  <c:v>1.0</c:v>
                </c:pt>
                <c:pt idx="4">
                  <c:v>0.0</c:v>
                </c:pt>
                <c:pt idx="5">
                  <c:v>0.0</c:v>
                </c:pt>
                <c:pt idx="6">
                  <c:v>2.0</c:v>
                </c:pt>
                <c:pt idx="7">
                  <c:v>0.0</c:v>
                </c:pt>
                <c:pt idx="8">
                  <c:v>1.0</c:v>
                </c:pt>
                <c:pt idx="9">
                  <c:v>0.0</c:v>
                </c:pt>
                <c:pt idx="10">
                  <c:v>1.0</c:v>
                </c:pt>
                <c:pt idx="11">
                  <c:v>0.0</c:v>
                </c:pt>
                <c:pt idx="13">
                  <c:v>1.0</c:v>
                </c:pt>
                <c:pt idx="14">
                  <c:v>0.0</c:v>
                </c:pt>
                <c:pt idx="15">
                  <c:v>0.0</c:v>
                </c:pt>
                <c:pt idx="16">
                  <c:v>2.0</c:v>
                </c:pt>
                <c:pt idx="17">
                  <c:v>0.0</c:v>
                </c:pt>
                <c:pt idx="18">
                  <c:v>1.0</c:v>
                </c:pt>
                <c:pt idx="19">
                  <c:v>0.0</c:v>
                </c:pt>
              </c:numCache>
            </c:numRef>
          </c:val>
        </c:ser>
        <c:dLbls>
          <c:showLegendKey val="0"/>
          <c:showVal val="0"/>
          <c:showCatName val="0"/>
          <c:showSerName val="0"/>
          <c:showPercent val="0"/>
          <c:showBubbleSize val="0"/>
        </c:dLbls>
        <c:gapWidth val="150"/>
        <c:shape val="box"/>
        <c:axId val="406379640"/>
        <c:axId val="406382648"/>
        <c:axId val="0"/>
      </c:bar3DChart>
      <c:catAx>
        <c:axId val="406379640"/>
        <c:scaling>
          <c:orientation val="minMax"/>
        </c:scaling>
        <c:delete val="0"/>
        <c:axPos val="b"/>
        <c:majorTickMark val="none"/>
        <c:minorTickMark val="none"/>
        <c:tickLblPos val="nextTo"/>
        <c:txPr>
          <a:bodyPr/>
          <a:lstStyle/>
          <a:p>
            <a:pPr>
              <a:defRPr lang="en-US"/>
            </a:pPr>
            <a:endParaRPr lang="en-US"/>
          </a:p>
        </c:txPr>
        <c:crossAx val="406382648"/>
        <c:crosses val="autoZero"/>
        <c:auto val="1"/>
        <c:lblAlgn val="ctr"/>
        <c:lblOffset val="100"/>
        <c:noMultiLvlLbl val="0"/>
      </c:catAx>
      <c:valAx>
        <c:axId val="406382648"/>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6379640"/>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baseline="0"/>
              <a:t>Results of the Treatment and Time Taken for Treatment</a:t>
            </a:r>
            <a:endParaRPr lang="en-US" sz="14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Sheet1!$C$142</c:f>
              <c:strCache>
                <c:ptCount val="1"/>
                <c:pt idx="0">
                  <c:v>alive</c:v>
                </c:pt>
              </c:strCache>
            </c:strRef>
          </c:tx>
          <c:invertIfNegative val="0"/>
          <c:cat>
            <c:multiLvlStrRef>
              <c:f>Sheet1!$A$143:$B$157</c:f>
              <c:multiLvlStrCache>
                <c:ptCount val="15"/>
                <c:lvl>
                  <c:pt idx="0">
                    <c:v>1-2 weeks</c:v>
                  </c:pt>
                  <c:pt idx="1">
                    <c:v>3-10 weeks</c:v>
                  </c:pt>
                  <c:pt idx="2">
                    <c:v>&gt;10 weeks</c:v>
                  </c:pt>
                  <c:pt idx="3">
                    <c:v>1-2 weeks</c:v>
                  </c:pt>
                  <c:pt idx="4">
                    <c:v>3-10 weeks</c:v>
                  </c:pt>
                  <c:pt idx="5">
                    <c:v>&gt;10 weeks</c:v>
                  </c:pt>
                  <c:pt idx="6">
                    <c:v>1-2 weeks</c:v>
                  </c:pt>
                  <c:pt idx="7">
                    <c:v>3-10 weeks</c:v>
                  </c:pt>
                  <c:pt idx="8">
                    <c:v>&gt;10 weeks</c:v>
                  </c:pt>
                  <c:pt idx="9">
                    <c:v>1-2 weeks</c:v>
                  </c:pt>
                  <c:pt idx="10">
                    <c:v>3-10 weeks</c:v>
                  </c:pt>
                  <c:pt idx="11">
                    <c:v>&gt;10 weeks</c:v>
                  </c:pt>
                  <c:pt idx="12">
                    <c:v>1-2 weeks</c:v>
                  </c:pt>
                  <c:pt idx="13">
                    <c:v>3-10 weeks</c:v>
                  </c:pt>
                  <c:pt idx="14">
                    <c:v>&gt;10 weeks</c:v>
                  </c:pt>
                </c:lvl>
                <c:lvl>
                  <c:pt idx="0">
                    <c:v>2007</c:v>
                  </c:pt>
                  <c:pt idx="3">
                    <c:v>2008</c:v>
                  </c:pt>
                  <c:pt idx="6">
                    <c:v>2009</c:v>
                  </c:pt>
                  <c:pt idx="9">
                    <c:v>2010</c:v>
                  </c:pt>
                  <c:pt idx="12">
                    <c:v>2011</c:v>
                  </c:pt>
                </c:lvl>
              </c:multiLvlStrCache>
            </c:multiLvlStrRef>
          </c:cat>
          <c:val>
            <c:numRef>
              <c:f>Sheet1!$C$143:$C$157</c:f>
              <c:numCache>
                <c:formatCode>General</c:formatCode>
                <c:ptCount val="15"/>
                <c:pt idx="0">
                  <c:v>28.0</c:v>
                </c:pt>
                <c:pt idx="1">
                  <c:v>51.0</c:v>
                </c:pt>
                <c:pt idx="2">
                  <c:v>23.0</c:v>
                </c:pt>
                <c:pt idx="3">
                  <c:v>34.0</c:v>
                </c:pt>
                <c:pt idx="4">
                  <c:v>57.0</c:v>
                </c:pt>
                <c:pt idx="5">
                  <c:v>25.0</c:v>
                </c:pt>
                <c:pt idx="6">
                  <c:v>17.0</c:v>
                </c:pt>
                <c:pt idx="7">
                  <c:v>62.0</c:v>
                </c:pt>
                <c:pt idx="8">
                  <c:v>21.0</c:v>
                </c:pt>
                <c:pt idx="9">
                  <c:v>9.0</c:v>
                </c:pt>
                <c:pt idx="10">
                  <c:v>77.0</c:v>
                </c:pt>
                <c:pt idx="11">
                  <c:v>24.0</c:v>
                </c:pt>
                <c:pt idx="12">
                  <c:v>24.0</c:v>
                </c:pt>
                <c:pt idx="13">
                  <c:v>74.0</c:v>
                </c:pt>
                <c:pt idx="14">
                  <c:v>29.0</c:v>
                </c:pt>
              </c:numCache>
            </c:numRef>
          </c:val>
        </c:ser>
        <c:ser>
          <c:idx val="1"/>
          <c:order val="1"/>
          <c:tx>
            <c:strRef>
              <c:f>Sheet1!$D$142</c:f>
              <c:strCache>
                <c:ptCount val="1"/>
                <c:pt idx="0">
                  <c:v>dead</c:v>
                </c:pt>
              </c:strCache>
            </c:strRef>
          </c:tx>
          <c:invertIfNegative val="0"/>
          <c:cat>
            <c:multiLvlStrRef>
              <c:f>Sheet1!$A$143:$B$157</c:f>
              <c:multiLvlStrCache>
                <c:ptCount val="15"/>
                <c:lvl>
                  <c:pt idx="0">
                    <c:v>1-2 weeks</c:v>
                  </c:pt>
                  <c:pt idx="1">
                    <c:v>3-10 weeks</c:v>
                  </c:pt>
                  <c:pt idx="2">
                    <c:v>&gt;10 weeks</c:v>
                  </c:pt>
                  <c:pt idx="3">
                    <c:v>1-2 weeks</c:v>
                  </c:pt>
                  <c:pt idx="4">
                    <c:v>3-10 weeks</c:v>
                  </c:pt>
                  <c:pt idx="5">
                    <c:v>&gt;10 weeks</c:v>
                  </c:pt>
                  <c:pt idx="6">
                    <c:v>1-2 weeks</c:v>
                  </c:pt>
                  <c:pt idx="7">
                    <c:v>3-10 weeks</c:v>
                  </c:pt>
                  <c:pt idx="8">
                    <c:v>&gt;10 weeks</c:v>
                  </c:pt>
                  <c:pt idx="9">
                    <c:v>1-2 weeks</c:v>
                  </c:pt>
                  <c:pt idx="10">
                    <c:v>3-10 weeks</c:v>
                  </c:pt>
                  <c:pt idx="11">
                    <c:v>&gt;10 weeks</c:v>
                  </c:pt>
                  <c:pt idx="12">
                    <c:v>1-2 weeks</c:v>
                  </c:pt>
                  <c:pt idx="13">
                    <c:v>3-10 weeks</c:v>
                  </c:pt>
                  <c:pt idx="14">
                    <c:v>&gt;10 weeks</c:v>
                  </c:pt>
                </c:lvl>
                <c:lvl>
                  <c:pt idx="0">
                    <c:v>2007</c:v>
                  </c:pt>
                  <c:pt idx="3">
                    <c:v>2008</c:v>
                  </c:pt>
                  <c:pt idx="6">
                    <c:v>2009</c:v>
                  </c:pt>
                  <c:pt idx="9">
                    <c:v>2010</c:v>
                  </c:pt>
                  <c:pt idx="12">
                    <c:v>2011</c:v>
                  </c:pt>
                </c:lvl>
              </c:multiLvlStrCache>
            </c:multiLvlStrRef>
          </c:cat>
          <c:val>
            <c:numRef>
              <c:f>Sheet1!$D$143:$D$157</c:f>
              <c:numCache>
                <c:formatCode>General</c:formatCode>
                <c:ptCount val="15"/>
                <c:pt idx="0">
                  <c:v>9.0</c:v>
                </c:pt>
                <c:pt idx="1">
                  <c:v>5.0</c:v>
                </c:pt>
                <c:pt idx="2">
                  <c:v>0.0</c:v>
                </c:pt>
                <c:pt idx="3">
                  <c:v>14.0</c:v>
                </c:pt>
                <c:pt idx="4">
                  <c:v>6.0</c:v>
                </c:pt>
                <c:pt idx="5">
                  <c:v>1.0</c:v>
                </c:pt>
                <c:pt idx="6">
                  <c:v>12.0</c:v>
                </c:pt>
                <c:pt idx="7">
                  <c:v>10.0</c:v>
                </c:pt>
                <c:pt idx="8">
                  <c:v>0.0</c:v>
                </c:pt>
                <c:pt idx="9">
                  <c:v>16.0</c:v>
                </c:pt>
                <c:pt idx="10">
                  <c:v>6.0</c:v>
                </c:pt>
                <c:pt idx="11">
                  <c:v>1.0</c:v>
                </c:pt>
                <c:pt idx="12">
                  <c:v>9.0</c:v>
                </c:pt>
                <c:pt idx="13">
                  <c:v>4.0</c:v>
                </c:pt>
                <c:pt idx="14">
                  <c:v>2.0</c:v>
                </c:pt>
              </c:numCache>
            </c:numRef>
          </c:val>
        </c:ser>
        <c:ser>
          <c:idx val="2"/>
          <c:order val="2"/>
          <c:tx>
            <c:strRef>
              <c:f>Sheet1!$E$142</c:f>
              <c:strCache>
                <c:ptCount val="1"/>
                <c:pt idx="0">
                  <c:v>forced discharge</c:v>
                </c:pt>
              </c:strCache>
            </c:strRef>
          </c:tx>
          <c:invertIfNegative val="0"/>
          <c:cat>
            <c:multiLvlStrRef>
              <c:f>Sheet1!$A$143:$B$157</c:f>
              <c:multiLvlStrCache>
                <c:ptCount val="15"/>
                <c:lvl>
                  <c:pt idx="0">
                    <c:v>1-2 weeks</c:v>
                  </c:pt>
                  <c:pt idx="1">
                    <c:v>3-10 weeks</c:v>
                  </c:pt>
                  <c:pt idx="2">
                    <c:v>&gt;10 weeks</c:v>
                  </c:pt>
                  <c:pt idx="3">
                    <c:v>1-2 weeks</c:v>
                  </c:pt>
                  <c:pt idx="4">
                    <c:v>3-10 weeks</c:v>
                  </c:pt>
                  <c:pt idx="5">
                    <c:v>&gt;10 weeks</c:v>
                  </c:pt>
                  <c:pt idx="6">
                    <c:v>1-2 weeks</c:v>
                  </c:pt>
                  <c:pt idx="7">
                    <c:v>3-10 weeks</c:v>
                  </c:pt>
                  <c:pt idx="8">
                    <c:v>&gt;10 weeks</c:v>
                  </c:pt>
                  <c:pt idx="9">
                    <c:v>1-2 weeks</c:v>
                  </c:pt>
                  <c:pt idx="10">
                    <c:v>3-10 weeks</c:v>
                  </c:pt>
                  <c:pt idx="11">
                    <c:v>&gt;10 weeks</c:v>
                  </c:pt>
                  <c:pt idx="12">
                    <c:v>1-2 weeks</c:v>
                  </c:pt>
                  <c:pt idx="13">
                    <c:v>3-10 weeks</c:v>
                  </c:pt>
                  <c:pt idx="14">
                    <c:v>&gt;10 weeks</c:v>
                  </c:pt>
                </c:lvl>
                <c:lvl>
                  <c:pt idx="0">
                    <c:v>2007</c:v>
                  </c:pt>
                  <c:pt idx="3">
                    <c:v>2008</c:v>
                  </c:pt>
                  <c:pt idx="6">
                    <c:v>2009</c:v>
                  </c:pt>
                  <c:pt idx="9">
                    <c:v>2010</c:v>
                  </c:pt>
                  <c:pt idx="12">
                    <c:v>2011</c:v>
                  </c:pt>
                </c:lvl>
              </c:multiLvlStrCache>
            </c:multiLvlStrRef>
          </c:cat>
          <c:val>
            <c:numRef>
              <c:f>Sheet1!$E$143:$E$157</c:f>
              <c:numCache>
                <c:formatCode>General</c:formatCode>
                <c:ptCount val="15"/>
                <c:pt idx="0">
                  <c:v>7.0</c:v>
                </c:pt>
                <c:pt idx="1">
                  <c:v>0.0</c:v>
                </c:pt>
                <c:pt idx="2">
                  <c:v>0.0</c:v>
                </c:pt>
                <c:pt idx="3">
                  <c:v>1.0</c:v>
                </c:pt>
                <c:pt idx="4">
                  <c:v>1.0</c:v>
                </c:pt>
                <c:pt idx="5">
                  <c:v>0.0</c:v>
                </c:pt>
                <c:pt idx="6">
                  <c:v>1.0</c:v>
                </c:pt>
                <c:pt idx="7">
                  <c:v>1.0</c:v>
                </c:pt>
                <c:pt idx="8">
                  <c:v>0.0</c:v>
                </c:pt>
                <c:pt idx="9">
                  <c:v>1.0</c:v>
                </c:pt>
                <c:pt idx="10">
                  <c:v>0.0</c:v>
                </c:pt>
                <c:pt idx="11">
                  <c:v>0.0</c:v>
                </c:pt>
                <c:pt idx="12">
                  <c:v>3.0</c:v>
                </c:pt>
                <c:pt idx="13">
                  <c:v>0.0</c:v>
                </c:pt>
                <c:pt idx="14">
                  <c:v>0.0</c:v>
                </c:pt>
              </c:numCache>
            </c:numRef>
          </c:val>
        </c:ser>
        <c:dLbls>
          <c:showLegendKey val="0"/>
          <c:showVal val="0"/>
          <c:showCatName val="0"/>
          <c:showSerName val="0"/>
          <c:showPercent val="0"/>
          <c:showBubbleSize val="0"/>
        </c:dLbls>
        <c:gapWidth val="150"/>
        <c:shape val="box"/>
        <c:axId val="406416056"/>
        <c:axId val="406419064"/>
        <c:axId val="0"/>
      </c:bar3DChart>
      <c:catAx>
        <c:axId val="406416056"/>
        <c:scaling>
          <c:orientation val="minMax"/>
        </c:scaling>
        <c:delete val="0"/>
        <c:axPos val="b"/>
        <c:majorTickMark val="none"/>
        <c:minorTickMark val="none"/>
        <c:tickLblPos val="nextTo"/>
        <c:txPr>
          <a:bodyPr/>
          <a:lstStyle/>
          <a:p>
            <a:pPr>
              <a:defRPr lang="en-US"/>
            </a:pPr>
            <a:endParaRPr lang="en-US"/>
          </a:p>
        </c:txPr>
        <c:crossAx val="406419064"/>
        <c:crosses val="autoZero"/>
        <c:auto val="1"/>
        <c:lblAlgn val="ctr"/>
        <c:lblOffset val="100"/>
        <c:noMultiLvlLbl val="0"/>
      </c:catAx>
      <c:valAx>
        <c:axId val="406419064"/>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6416056"/>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baseline="0"/>
              <a:t>Results of the Treatment based on Inhalation Trauma</a:t>
            </a:r>
            <a:endParaRPr lang="en-US" sz="14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Sheet1!$C$161</c:f>
              <c:strCache>
                <c:ptCount val="1"/>
                <c:pt idx="0">
                  <c:v>Yes</c:v>
                </c:pt>
              </c:strCache>
            </c:strRef>
          </c:tx>
          <c:invertIfNegative val="0"/>
          <c:cat>
            <c:multiLvlStrRef>
              <c:f>Sheet1!$A$162:$B$176</c:f>
              <c:multiLvlStrCache>
                <c:ptCount val="15"/>
                <c:lvl>
                  <c:pt idx="0">
                    <c:v>alive</c:v>
                  </c:pt>
                  <c:pt idx="1">
                    <c:v>dead</c:v>
                  </c:pt>
                  <c:pt idx="2">
                    <c:v>forced discharge</c:v>
                  </c:pt>
                  <c:pt idx="3">
                    <c:v>alive</c:v>
                  </c:pt>
                  <c:pt idx="4">
                    <c:v>dead</c:v>
                  </c:pt>
                  <c:pt idx="5">
                    <c:v>forced discharge</c:v>
                  </c:pt>
                  <c:pt idx="6">
                    <c:v>alive</c:v>
                  </c:pt>
                  <c:pt idx="7">
                    <c:v>dead</c:v>
                  </c:pt>
                  <c:pt idx="8">
                    <c:v>forced discharge</c:v>
                  </c:pt>
                  <c:pt idx="9">
                    <c:v>alive</c:v>
                  </c:pt>
                  <c:pt idx="10">
                    <c:v>dead</c:v>
                  </c:pt>
                  <c:pt idx="11">
                    <c:v>forced discharge</c:v>
                  </c:pt>
                  <c:pt idx="12">
                    <c:v>alive</c:v>
                  </c:pt>
                  <c:pt idx="13">
                    <c:v>dead</c:v>
                  </c:pt>
                  <c:pt idx="14">
                    <c:v>forced discharge</c:v>
                  </c:pt>
                </c:lvl>
                <c:lvl>
                  <c:pt idx="0">
                    <c:v>2007</c:v>
                  </c:pt>
                  <c:pt idx="3">
                    <c:v>2008</c:v>
                  </c:pt>
                  <c:pt idx="6">
                    <c:v>2009</c:v>
                  </c:pt>
                  <c:pt idx="9">
                    <c:v>2010</c:v>
                  </c:pt>
                  <c:pt idx="12">
                    <c:v>2011</c:v>
                  </c:pt>
                </c:lvl>
              </c:multiLvlStrCache>
            </c:multiLvlStrRef>
          </c:cat>
          <c:val>
            <c:numRef>
              <c:f>Sheet1!$C$162:$C$176</c:f>
              <c:numCache>
                <c:formatCode>General</c:formatCode>
                <c:ptCount val="15"/>
                <c:pt idx="0">
                  <c:v>12.0</c:v>
                </c:pt>
                <c:pt idx="1">
                  <c:v>2.0</c:v>
                </c:pt>
                <c:pt idx="2">
                  <c:v>0.0</c:v>
                </c:pt>
                <c:pt idx="3">
                  <c:v>11.0</c:v>
                </c:pt>
                <c:pt idx="4">
                  <c:v>8.0</c:v>
                </c:pt>
                <c:pt idx="5">
                  <c:v>0.0</c:v>
                </c:pt>
                <c:pt idx="6">
                  <c:v>10.0</c:v>
                </c:pt>
                <c:pt idx="7">
                  <c:v>15.0</c:v>
                </c:pt>
                <c:pt idx="8">
                  <c:v>0.0</c:v>
                </c:pt>
                <c:pt idx="9">
                  <c:v>9.0</c:v>
                </c:pt>
                <c:pt idx="10">
                  <c:v>12.0</c:v>
                </c:pt>
                <c:pt idx="11">
                  <c:v>0.0</c:v>
                </c:pt>
                <c:pt idx="12">
                  <c:v>8.0</c:v>
                </c:pt>
                <c:pt idx="13">
                  <c:v>9.0</c:v>
                </c:pt>
                <c:pt idx="14">
                  <c:v>0.0</c:v>
                </c:pt>
              </c:numCache>
            </c:numRef>
          </c:val>
        </c:ser>
        <c:ser>
          <c:idx val="1"/>
          <c:order val="1"/>
          <c:tx>
            <c:strRef>
              <c:f>Sheet1!$D$161</c:f>
              <c:strCache>
                <c:ptCount val="1"/>
                <c:pt idx="0">
                  <c:v>No</c:v>
                </c:pt>
              </c:strCache>
            </c:strRef>
          </c:tx>
          <c:invertIfNegative val="0"/>
          <c:cat>
            <c:multiLvlStrRef>
              <c:f>Sheet1!$A$162:$B$176</c:f>
              <c:multiLvlStrCache>
                <c:ptCount val="15"/>
                <c:lvl>
                  <c:pt idx="0">
                    <c:v>alive</c:v>
                  </c:pt>
                  <c:pt idx="1">
                    <c:v>dead</c:v>
                  </c:pt>
                  <c:pt idx="2">
                    <c:v>forced discharge</c:v>
                  </c:pt>
                  <c:pt idx="3">
                    <c:v>alive</c:v>
                  </c:pt>
                  <c:pt idx="4">
                    <c:v>dead</c:v>
                  </c:pt>
                  <c:pt idx="5">
                    <c:v>forced discharge</c:v>
                  </c:pt>
                  <c:pt idx="6">
                    <c:v>alive</c:v>
                  </c:pt>
                  <c:pt idx="7">
                    <c:v>dead</c:v>
                  </c:pt>
                  <c:pt idx="8">
                    <c:v>forced discharge</c:v>
                  </c:pt>
                  <c:pt idx="9">
                    <c:v>alive</c:v>
                  </c:pt>
                  <c:pt idx="10">
                    <c:v>dead</c:v>
                  </c:pt>
                  <c:pt idx="11">
                    <c:v>forced discharge</c:v>
                  </c:pt>
                  <c:pt idx="12">
                    <c:v>alive</c:v>
                  </c:pt>
                  <c:pt idx="13">
                    <c:v>dead</c:v>
                  </c:pt>
                  <c:pt idx="14">
                    <c:v>forced discharge</c:v>
                  </c:pt>
                </c:lvl>
                <c:lvl>
                  <c:pt idx="0">
                    <c:v>2007</c:v>
                  </c:pt>
                  <c:pt idx="3">
                    <c:v>2008</c:v>
                  </c:pt>
                  <c:pt idx="6">
                    <c:v>2009</c:v>
                  </c:pt>
                  <c:pt idx="9">
                    <c:v>2010</c:v>
                  </c:pt>
                  <c:pt idx="12">
                    <c:v>2011</c:v>
                  </c:pt>
                </c:lvl>
              </c:multiLvlStrCache>
            </c:multiLvlStrRef>
          </c:cat>
          <c:val>
            <c:numRef>
              <c:f>Sheet1!$D$162:$D$176</c:f>
              <c:numCache>
                <c:formatCode>General</c:formatCode>
                <c:ptCount val="15"/>
                <c:pt idx="0">
                  <c:v>90.0</c:v>
                </c:pt>
                <c:pt idx="1">
                  <c:v>12.0</c:v>
                </c:pt>
                <c:pt idx="2">
                  <c:v>7.0</c:v>
                </c:pt>
                <c:pt idx="3">
                  <c:v>105.0</c:v>
                </c:pt>
                <c:pt idx="4">
                  <c:v>13.0</c:v>
                </c:pt>
                <c:pt idx="5">
                  <c:v>2.0</c:v>
                </c:pt>
                <c:pt idx="6">
                  <c:v>90.0</c:v>
                </c:pt>
                <c:pt idx="7">
                  <c:v>7.0</c:v>
                </c:pt>
                <c:pt idx="8">
                  <c:v>2.0</c:v>
                </c:pt>
                <c:pt idx="9">
                  <c:v>101.0</c:v>
                </c:pt>
                <c:pt idx="10">
                  <c:v>11.0</c:v>
                </c:pt>
                <c:pt idx="11">
                  <c:v>1.0</c:v>
                </c:pt>
                <c:pt idx="12">
                  <c:v>119.0</c:v>
                </c:pt>
                <c:pt idx="13">
                  <c:v>6.0</c:v>
                </c:pt>
                <c:pt idx="14">
                  <c:v>3.0</c:v>
                </c:pt>
              </c:numCache>
            </c:numRef>
          </c:val>
        </c:ser>
        <c:dLbls>
          <c:showLegendKey val="0"/>
          <c:showVal val="0"/>
          <c:showCatName val="0"/>
          <c:showSerName val="0"/>
          <c:showPercent val="0"/>
          <c:showBubbleSize val="0"/>
        </c:dLbls>
        <c:gapWidth val="150"/>
        <c:shape val="box"/>
        <c:axId val="406448248"/>
        <c:axId val="406451256"/>
        <c:axId val="0"/>
      </c:bar3DChart>
      <c:catAx>
        <c:axId val="406448248"/>
        <c:scaling>
          <c:orientation val="minMax"/>
        </c:scaling>
        <c:delete val="0"/>
        <c:axPos val="b"/>
        <c:majorTickMark val="none"/>
        <c:minorTickMark val="none"/>
        <c:tickLblPos val="nextTo"/>
        <c:txPr>
          <a:bodyPr/>
          <a:lstStyle/>
          <a:p>
            <a:pPr>
              <a:defRPr lang="en-US"/>
            </a:pPr>
            <a:endParaRPr lang="en-US"/>
          </a:p>
        </c:txPr>
        <c:crossAx val="406451256"/>
        <c:crosses val="autoZero"/>
        <c:auto val="1"/>
        <c:lblAlgn val="ctr"/>
        <c:lblOffset val="100"/>
        <c:noMultiLvlLbl val="0"/>
      </c:catAx>
      <c:valAx>
        <c:axId val="406451256"/>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6448248"/>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400" b="1" i="0" u="none" strike="noStrike" baseline="0"/>
              <a:t>Bacterial type in Burn Unit Dr. Soetomo Hospital</a:t>
            </a:r>
            <a:endParaRPr lang="en-US" sz="14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Sheet1!$B$37</c:f>
              <c:strCache>
                <c:ptCount val="1"/>
                <c:pt idx="0">
                  <c:v>2007</c:v>
                </c:pt>
              </c:strCache>
            </c:strRef>
          </c:tx>
          <c:invertIfNegative val="0"/>
          <c:cat>
            <c:strRef>
              <c:f>Sheet1!$A$38:$A$45</c:f>
              <c:strCache>
                <c:ptCount val="8"/>
                <c:pt idx="0">
                  <c:v>Acinetobacter</c:v>
                </c:pt>
                <c:pt idx="1">
                  <c:v>Staphylococcus coag. (-)</c:v>
                </c:pt>
                <c:pt idx="2">
                  <c:v>Pseudomonas</c:v>
                </c:pt>
                <c:pt idx="3">
                  <c:v>Enterobacter</c:v>
                </c:pt>
                <c:pt idx="4">
                  <c:v>Klebsiela</c:v>
                </c:pt>
                <c:pt idx="5">
                  <c:v>ESBL</c:v>
                </c:pt>
                <c:pt idx="6">
                  <c:v>Staphylococcus</c:v>
                </c:pt>
                <c:pt idx="7">
                  <c:v>MRSA</c:v>
                </c:pt>
              </c:strCache>
            </c:strRef>
          </c:cat>
          <c:val>
            <c:numRef>
              <c:f>Sheet1!$B$38:$B$45</c:f>
              <c:numCache>
                <c:formatCode>General</c:formatCode>
                <c:ptCount val="8"/>
                <c:pt idx="0">
                  <c:v>15.8</c:v>
                </c:pt>
                <c:pt idx="1">
                  <c:v>8.8</c:v>
                </c:pt>
                <c:pt idx="2">
                  <c:v>42.1</c:v>
                </c:pt>
                <c:pt idx="3">
                  <c:v>8.8</c:v>
                </c:pt>
                <c:pt idx="4">
                  <c:v>7.0</c:v>
                </c:pt>
                <c:pt idx="5">
                  <c:v>0.0</c:v>
                </c:pt>
                <c:pt idx="6">
                  <c:v>3.5</c:v>
                </c:pt>
                <c:pt idx="7">
                  <c:v>1.8</c:v>
                </c:pt>
              </c:numCache>
            </c:numRef>
          </c:val>
        </c:ser>
        <c:ser>
          <c:idx val="1"/>
          <c:order val="1"/>
          <c:tx>
            <c:strRef>
              <c:f>Sheet1!$C$37</c:f>
              <c:strCache>
                <c:ptCount val="1"/>
                <c:pt idx="0">
                  <c:v>2008</c:v>
                </c:pt>
              </c:strCache>
            </c:strRef>
          </c:tx>
          <c:invertIfNegative val="0"/>
          <c:cat>
            <c:strRef>
              <c:f>Sheet1!$A$38:$A$45</c:f>
              <c:strCache>
                <c:ptCount val="8"/>
                <c:pt idx="0">
                  <c:v>Acinetobacter</c:v>
                </c:pt>
                <c:pt idx="1">
                  <c:v>Staphylococcus coag. (-)</c:v>
                </c:pt>
                <c:pt idx="2">
                  <c:v>Pseudomonas</c:v>
                </c:pt>
                <c:pt idx="3">
                  <c:v>Enterobacter</c:v>
                </c:pt>
                <c:pt idx="4">
                  <c:v>Klebsiela</c:v>
                </c:pt>
                <c:pt idx="5">
                  <c:v>ESBL</c:v>
                </c:pt>
                <c:pt idx="6">
                  <c:v>Staphylococcus</c:v>
                </c:pt>
                <c:pt idx="7">
                  <c:v>MRSA</c:v>
                </c:pt>
              </c:strCache>
            </c:strRef>
          </c:cat>
          <c:val>
            <c:numRef>
              <c:f>Sheet1!$C$38:$C$45</c:f>
              <c:numCache>
                <c:formatCode>General</c:formatCode>
                <c:ptCount val="8"/>
                <c:pt idx="0">
                  <c:v>13.8</c:v>
                </c:pt>
                <c:pt idx="1">
                  <c:v>3.6</c:v>
                </c:pt>
                <c:pt idx="2">
                  <c:v>41.6</c:v>
                </c:pt>
                <c:pt idx="3">
                  <c:v>6.6</c:v>
                </c:pt>
                <c:pt idx="4">
                  <c:v>13.3</c:v>
                </c:pt>
                <c:pt idx="5">
                  <c:v>0.0</c:v>
                </c:pt>
                <c:pt idx="6">
                  <c:v>6.0</c:v>
                </c:pt>
                <c:pt idx="7">
                  <c:v>4.2</c:v>
                </c:pt>
              </c:numCache>
            </c:numRef>
          </c:val>
        </c:ser>
        <c:ser>
          <c:idx val="2"/>
          <c:order val="2"/>
          <c:tx>
            <c:strRef>
              <c:f>Sheet1!$D$37</c:f>
              <c:strCache>
                <c:ptCount val="1"/>
                <c:pt idx="0">
                  <c:v>2009</c:v>
                </c:pt>
              </c:strCache>
            </c:strRef>
          </c:tx>
          <c:invertIfNegative val="0"/>
          <c:cat>
            <c:strRef>
              <c:f>Sheet1!$A$38:$A$45</c:f>
              <c:strCache>
                <c:ptCount val="8"/>
                <c:pt idx="0">
                  <c:v>Acinetobacter</c:v>
                </c:pt>
                <c:pt idx="1">
                  <c:v>Staphylococcus coag. (-)</c:v>
                </c:pt>
                <c:pt idx="2">
                  <c:v>Pseudomonas</c:v>
                </c:pt>
                <c:pt idx="3">
                  <c:v>Enterobacter</c:v>
                </c:pt>
                <c:pt idx="4">
                  <c:v>Klebsiela</c:v>
                </c:pt>
                <c:pt idx="5">
                  <c:v>ESBL</c:v>
                </c:pt>
                <c:pt idx="6">
                  <c:v>Staphylococcus</c:v>
                </c:pt>
                <c:pt idx="7">
                  <c:v>MRSA</c:v>
                </c:pt>
              </c:strCache>
            </c:strRef>
          </c:cat>
          <c:val>
            <c:numRef>
              <c:f>Sheet1!$D$38:$D$45</c:f>
              <c:numCache>
                <c:formatCode>General</c:formatCode>
                <c:ptCount val="8"/>
                <c:pt idx="0">
                  <c:v>21.0</c:v>
                </c:pt>
                <c:pt idx="1">
                  <c:v>1.9</c:v>
                </c:pt>
                <c:pt idx="2">
                  <c:v>30.9</c:v>
                </c:pt>
                <c:pt idx="3">
                  <c:v>8.0</c:v>
                </c:pt>
                <c:pt idx="4">
                  <c:v>20.4</c:v>
                </c:pt>
                <c:pt idx="5">
                  <c:v>0.0</c:v>
                </c:pt>
                <c:pt idx="6">
                  <c:v>6.2</c:v>
                </c:pt>
                <c:pt idx="7">
                  <c:v>3.7</c:v>
                </c:pt>
              </c:numCache>
            </c:numRef>
          </c:val>
        </c:ser>
        <c:ser>
          <c:idx val="3"/>
          <c:order val="3"/>
          <c:tx>
            <c:strRef>
              <c:f>Sheet1!$E$37</c:f>
              <c:strCache>
                <c:ptCount val="1"/>
                <c:pt idx="0">
                  <c:v>2010</c:v>
                </c:pt>
              </c:strCache>
            </c:strRef>
          </c:tx>
          <c:invertIfNegative val="0"/>
          <c:cat>
            <c:strRef>
              <c:f>Sheet1!$A$38:$A$45</c:f>
              <c:strCache>
                <c:ptCount val="8"/>
                <c:pt idx="0">
                  <c:v>Acinetobacter</c:v>
                </c:pt>
                <c:pt idx="1">
                  <c:v>Staphylococcus coag. (-)</c:v>
                </c:pt>
                <c:pt idx="2">
                  <c:v>Pseudomonas</c:v>
                </c:pt>
                <c:pt idx="3">
                  <c:v>Enterobacter</c:v>
                </c:pt>
                <c:pt idx="4">
                  <c:v>Klebsiela</c:v>
                </c:pt>
                <c:pt idx="5">
                  <c:v>ESBL</c:v>
                </c:pt>
                <c:pt idx="6">
                  <c:v>Staphylococcus</c:v>
                </c:pt>
                <c:pt idx="7">
                  <c:v>MRSA</c:v>
                </c:pt>
              </c:strCache>
            </c:strRef>
          </c:cat>
          <c:val>
            <c:numRef>
              <c:f>Sheet1!$E$38:$E$45</c:f>
              <c:numCache>
                <c:formatCode>General</c:formatCode>
                <c:ptCount val="8"/>
                <c:pt idx="0">
                  <c:v>21.1</c:v>
                </c:pt>
                <c:pt idx="1">
                  <c:v>7.0</c:v>
                </c:pt>
                <c:pt idx="2">
                  <c:v>38.2</c:v>
                </c:pt>
                <c:pt idx="3">
                  <c:v>7.0</c:v>
                </c:pt>
                <c:pt idx="4">
                  <c:v>3.0</c:v>
                </c:pt>
                <c:pt idx="5">
                  <c:v>4.0</c:v>
                </c:pt>
                <c:pt idx="6">
                  <c:v>5.5</c:v>
                </c:pt>
                <c:pt idx="7">
                  <c:v>4.0</c:v>
                </c:pt>
              </c:numCache>
            </c:numRef>
          </c:val>
        </c:ser>
        <c:ser>
          <c:idx val="4"/>
          <c:order val="4"/>
          <c:tx>
            <c:strRef>
              <c:f>Sheet1!$F$37</c:f>
              <c:strCache>
                <c:ptCount val="1"/>
                <c:pt idx="0">
                  <c:v>2011</c:v>
                </c:pt>
              </c:strCache>
            </c:strRef>
          </c:tx>
          <c:invertIfNegative val="0"/>
          <c:cat>
            <c:strRef>
              <c:f>Sheet1!$A$38:$A$45</c:f>
              <c:strCache>
                <c:ptCount val="8"/>
                <c:pt idx="0">
                  <c:v>Acinetobacter</c:v>
                </c:pt>
                <c:pt idx="1">
                  <c:v>Staphylococcus coag. (-)</c:v>
                </c:pt>
                <c:pt idx="2">
                  <c:v>Pseudomonas</c:v>
                </c:pt>
                <c:pt idx="3">
                  <c:v>Enterobacter</c:v>
                </c:pt>
                <c:pt idx="4">
                  <c:v>Klebsiela</c:v>
                </c:pt>
                <c:pt idx="5">
                  <c:v>ESBL</c:v>
                </c:pt>
                <c:pt idx="6">
                  <c:v>Staphylococcus</c:v>
                </c:pt>
                <c:pt idx="7">
                  <c:v>MRSA</c:v>
                </c:pt>
              </c:strCache>
            </c:strRef>
          </c:cat>
          <c:val>
            <c:numRef>
              <c:f>Sheet1!$F$38:$F$45</c:f>
              <c:numCache>
                <c:formatCode>General</c:formatCode>
                <c:ptCount val="8"/>
                <c:pt idx="0">
                  <c:v>30.0</c:v>
                </c:pt>
                <c:pt idx="1">
                  <c:v>8.8</c:v>
                </c:pt>
                <c:pt idx="2">
                  <c:v>31.8</c:v>
                </c:pt>
                <c:pt idx="3">
                  <c:v>8.8</c:v>
                </c:pt>
                <c:pt idx="4">
                  <c:v>2.3</c:v>
                </c:pt>
                <c:pt idx="5">
                  <c:v>2.3</c:v>
                </c:pt>
                <c:pt idx="6">
                  <c:v>1.2</c:v>
                </c:pt>
                <c:pt idx="7">
                  <c:v>0.0</c:v>
                </c:pt>
              </c:numCache>
            </c:numRef>
          </c:val>
        </c:ser>
        <c:dLbls>
          <c:showLegendKey val="0"/>
          <c:showVal val="0"/>
          <c:showCatName val="0"/>
          <c:showSerName val="0"/>
          <c:showPercent val="0"/>
          <c:showBubbleSize val="0"/>
        </c:dLbls>
        <c:gapWidth val="150"/>
        <c:shape val="box"/>
        <c:axId val="408446328"/>
        <c:axId val="408449560"/>
        <c:axId val="0"/>
      </c:bar3DChart>
      <c:catAx>
        <c:axId val="408446328"/>
        <c:scaling>
          <c:orientation val="minMax"/>
        </c:scaling>
        <c:delete val="0"/>
        <c:axPos val="b"/>
        <c:majorTickMark val="none"/>
        <c:minorTickMark val="none"/>
        <c:tickLblPos val="nextTo"/>
        <c:txPr>
          <a:bodyPr/>
          <a:lstStyle/>
          <a:p>
            <a:pPr>
              <a:defRPr lang="en-US"/>
            </a:pPr>
            <a:endParaRPr lang="en-US"/>
          </a:p>
        </c:txPr>
        <c:crossAx val="408449560"/>
        <c:crosses val="autoZero"/>
        <c:auto val="1"/>
        <c:lblAlgn val="ctr"/>
        <c:lblOffset val="100"/>
        <c:noMultiLvlLbl val="0"/>
      </c:catAx>
      <c:valAx>
        <c:axId val="408449560"/>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8446328"/>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200" baseline="0"/>
              <a:t>Distribution of </a:t>
            </a:r>
            <a:r>
              <a:rPr lang="en-US" sz="1200" b="1" i="0" u="none" strike="noStrike" baseline="0"/>
              <a:t>Antibiotic Sensitivity to Pseudomonas</a:t>
            </a:r>
          </a:p>
          <a:p>
            <a:pPr>
              <a:defRPr lang="en-US"/>
            </a:pPr>
            <a:r>
              <a:rPr lang="en-US" sz="1200" baseline="0"/>
              <a:t>in Burn Unit Dr. Soetomo Hospital</a:t>
            </a:r>
            <a:endParaRPr lang="en-US" sz="12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Sheet1!$A$183</c:f>
              <c:strCache>
                <c:ptCount val="1"/>
                <c:pt idx="0">
                  <c:v>2007</c:v>
                </c:pt>
              </c:strCache>
            </c:strRef>
          </c:tx>
          <c:invertIfNegative val="0"/>
          <c:cat>
            <c:strRef>
              <c:f>Sheet1!$B$182:$F$182</c:f>
              <c:strCache>
                <c:ptCount val="5"/>
                <c:pt idx="0">
                  <c:v>amikasin</c:v>
                </c:pt>
                <c:pt idx="1">
                  <c:v>ceftazidim</c:v>
                </c:pt>
                <c:pt idx="2">
                  <c:v>meropenem</c:v>
                </c:pt>
                <c:pt idx="3">
                  <c:v>cefo-sulbactam</c:v>
                </c:pt>
                <c:pt idx="4">
                  <c:v>cefepim</c:v>
                </c:pt>
              </c:strCache>
            </c:strRef>
          </c:cat>
          <c:val>
            <c:numRef>
              <c:f>Sheet1!$B$183:$F$183</c:f>
              <c:numCache>
                <c:formatCode>General</c:formatCode>
                <c:ptCount val="5"/>
                <c:pt idx="0">
                  <c:v>31.0</c:v>
                </c:pt>
                <c:pt idx="1">
                  <c:v>35.0</c:v>
                </c:pt>
                <c:pt idx="2">
                  <c:v>33.0</c:v>
                </c:pt>
                <c:pt idx="3">
                  <c:v>33.0</c:v>
                </c:pt>
                <c:pt idx="4">
                  <c:v>32.0</c:v>
                </c:pt>
              </c:numCache>
            </c:numRef>
          </c:val>
        </c:ser>
        <c:ser>
          <c:idx val="1"/>
          <c:order val="1"/>
          <c:tx>
            <c:strRef>
              <c:f>Sheet1!$A$184</c:f>
              <c:strCache>
                <c:ptCount val="1"/>
                <c:pt idx="0">
                  <c:v>2008</c:v>
                </c:pt>
              </c:strCache>
            </c:strRef>
          </c:tx>
          <c:invertIfNegative val="0"/>
          <c:cat>
            <c:strRef>
              <c:f>Sheet1!$B$182:$F$182</c:f>
              <c:strCache>
                <c:ptCount val="5"/>
                <c:pt idx="0">
                  <c:v>amikasin</c:v>
                </c:pt>
                <c:pt idx="1">
                  <c:v>ceftazidim</c:v>
                </c:pt>
                <c:pt idx="2">
                  <c:v>meropenem</c:v>
                </c:pt>
                <c:pt idx="3">
                  <c:v>cefo-sulbactam</c:v>
                </c:pt>
                <c:pt idx="4">
                  <c:v>cefepim</c:v>
                </c:pt>
              </c:strCache>
            </c:strRef>
          </c:cat>
          <c:val>
            <c:numRef>
              <c:f>Sheet1!$B$184:$F$184</c:f>
              <c:numCache>
                <c:formatCode>General</c:formatCode>
                <c:ptCount val="5"/>
                <c:pt idx="0">
                  <c:v>32.0</c:v>
                </c:pt>
                <c:pt idx="1">
                  <c:v>29.0</c:v>
                </c:pt>
                <c:pt idx="2">
                  <c:v>31.0</c:v>
                </c:pt>
                <c:pt idx="3">
                  <c:v>28.0</c:v>
                </c:pt>
                <c:pt idx="4">
                  <c:v>33.0</c:v>
                </c:pt>
              </c:numCache>
            </c:numRef>
          </c:val>
        </c:ser>
        <c:ser>
          <c:idx val="2"/>
          <c:order val="2"/>
          <c:tx>
            <c:strRef>
              <c:f>Sheet1!$A$185</c:f>
              <c:strCache>
                <c:ptCount val="1"/>
                <c:pt idx="0">
                  <c:v>2009</c:v>
                </c:pt>
              </c:strCache>
            </c:strRef>
          </c:tx>
          <c:invertIfNegative val="0"/>
          <c:cat>
            <c:strRef>
              <c:f>Sheet1!$B$182:$F$182</c:f>
              <c:strCache>
                <c:ptCount val="5"/>
                <c:pt idx="0">
                  <c:v>amikasin</c:v>
                </c:pt>
                <c:pt idx="1">
                  <c:v>ceftazidim</c:v>
                </c:pt>
                <c:pt idx="2">
                  <c:v>meropenem</c:v>
                </c:pt>
                <c:pt idx="3">
                  <c:v>cefo-sulbactam</c:v>
                </c:pt>
                <c:pt idx="4">
                  <c:v>cefepim</c:v>
                </c:pt>
              </c:strCache>
            </c:strRef>
          </c:cat>
          <c:val>
            <c:numRef>
              <c:f>Sheet1!$B$185:$F$185</c:f>
              <c:numCache>
                <c:formatCode>General</c:formatCode>
                <c:ptCount val="5"/>
                <c:pt idx="0">
                  <c:v>27.0</c:v>
                </c:pt>
                <c:pt idx="1">
                  <c:v>30.0</c:v>
                </c:pt>
                <c:pt idx="2">
                  <c:v>30.0</c:v>
                </c:pt>
                <c:pt idx="3">
                  <c:v>31.0</c:v>
                </c:pt>
                <c:pt idx="4">
                  <c:v>31.0</c:v>
                </c:pt>
              </c:numCache>
            </c:numRef>
          </c:val>
        </c:ser>
        <c:ser>
          <c:idx val="3"/>
          <c:order val="3"/>
          <c:tx>
            <c:strRef>
              <c:f>Sheet1!$A$186</c:f>
              <c:strCache>
                <c:ptCount val="1"/>
                <c:pt idx="0">
                  <c:v>2010</c:v>
                </c:pt>
              </c:strCache>
            </c:strRef>
          </c:tx>
          <c:invertIfNegative val="0"/>
          <c:cat>
            <c:strRef>
              <c:f>Sheet1!$B$182:$F$182</c:f>
              <c:strCache>
                <c:ptCount val="5"/>
                <c:pt idx="0">
                  <c:v>amikasin</c:v>
                </c:pt>
                <c:pt idx="1">
                  <c:v>ceftazidim</c:v>
                </c:pt>
                <c:pt idx="2">
                  <c:v>meropenem</c:v>
                </c:pt>
                <c:pt idx="3">
                  <c:v>cefo-sulbactam</c:v>
                </c:pt>
                <c:pt idx="4">
                  <c:v>cefepim</c:v>
                </c:pt>
              </c:strCache>
            </c:strRef>
          </c:cat>
          <c:val>
            <c:numRef>
              <c:f>Sheet1!$B$186:$F$186</c:f>
              <c:numCache>
                <c:formatCode>General</c:formatCode>
                <c:ptCount val="5"/>
                <c:pt idx="0">
                  <c:v>36.0</c:v>
                </c:pt>
                <c:pt idx="1">
                  <c:v>32.0</c:v>
                </c:pt>
                <c:pt idx="2">
                  <c:v>33.0</c:v>
                </c:pt>
                <c:pt idx="3">
                  <c:v>29.0</c:v>
                </c:pt>
                <c:pt idx="4">
                  <c:v>34.0</c:v>
                </c:pt>
              </c:numCache>
            </c:numRef>
          </c:val>
        </c:ser>
        <c:ser>
          <c:idx val="4"/>
          <c:order val="4"/>
          <c:tx>
            <c:strRef>
              <c:f>Sheet1!$A$187</c:f>
              <c:strCache>
                <c:ptCount val="1"/>
                <c:pt idx="0">
                  <c:v>2011</c:v>
                </c:pt>
              </c:strCache>
            </c:strRef>
          </c:tx>
          <c:invertIfNegative val="0"/>
          <c:cat>
            <c:strRef>
              <c:f>Sheet1!$B$182:$F$182</c:f>
              <c:strCache>
                <c:ptCount val="5"/>
                <c:pt idx="0">
                  <c:v>amikasin</c:v>
                </c:pt>
                <c:pt idx="1">
                  <c:v>ceftazidim</c:v>
                </c:pt>
                <c:pt idx="2">
                  <c:v>meropenem</c:v>
                </c:pt>
                <c:pt idx="3">
                  <c:v>cefo-sulbactam</c:v>
                </c:pt>
                <c:pt idx="4">
                  <c:v>cefepim</c:v>
                </c:pt>
              </c:strCache>
            </c:strRef>
          </c:cat>
          <c:val>
            <c:numRef>
              <c:f>Sheet1!$B$187:$F$187</c:f>
              <c:numCache>
                <c:formatCode>General</c:formatCode>
                <c:ptCount val="5"/>
                <c:pt idx="0">
                  <c:v>35.0</c:v>
                </c:pt>
                <c:pt idx="1">
                  <c:v>28.0</c:v>
                </c:pt>
                <c:pt idx="2">
                  <c:v>34.0</c:v>
                </c:pt>
                <c:pt idx="3">
                  <c:v>29.0</c:v>
                </c:pt>
                <c:pt idx="4">
                  <c:v>33.0</c:v>
                </c:pt>
              </c:numCache>
            </c:numRef>
          </c:val>
        </c:ser>
        <c:dLbls>
          <c:showLegendKey val="0"/>
          <c:showVal val="0"/>
          <c:showCatName val="0"/>
          <c:showSerName val="0"/>
          <c:showPercent val="0"/>
          <c:showBubbleSize val="0"/>
        </c:dLbls>
        <c:gapWidth val="150"/>
        <c:shape val="box"/>
        <c:axId val="408487864"/>
        <c:axId val="408491096"/>
        <c:axId val="0"/>
      </c:bar3DChart>
      <c:catAx>
        <c:axId val="408487864"/>
        <c:scaling>
          <c:orientation val="minMax"/>
        </c:scaling>
        <c:delete val="0"/>
        <c:axPos val="b"/>
        <c:majorTickMark val="none"/>
        <c:minorTickMark val="none"/>
        <c:tickLblPos val="nextTo"/>
        <c:txPr>
          <a:bodyPr/>
          <a:lstStyle/>
          <a:p>
            <a:pPr>
              <a:defRPr lang="en-US"/>
            </a:pPr>
            <a:endParaRPr lang="en-US"/>
          </a:p>
        </c:txPr>
        <c:crossAx val="408491096"/>
        <c:crosses val="autoZero"/>
        <c:auto val="1"/>
        <c:lblAlgn val="ctr"/>
        <c:lblOffset val="100"/>
        <c:noMultiLvlLbl val="0"/>
      </c:catAx>
      <c:valAx>
        <c:axId val="408491096"/>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8487864"/>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lang="en-US"/>
            </a:pPr>
            <a:r>
              <a:rPr lang="en-US" sz="1200" baseline="0"/>
              <a:t>Distribution of Antibiotic Resistance to Pseudomonas</a:t>
            </a:r>
          </a:p>
          <a:p>
            <a:pPr>
              <a:defRPr lang="en-US"/>
            </a:pPr>
            <a:r>
              <a:rPr lang="en-US" sz="1200" baseline="0"/>
              <a:t>in Burn Unit Dr. Soetomo Hospital</a:t>
            </a:r>
            <a:endParaRPr lang="en-US" sz="1200"/>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Sheet1!$A$202</c:f>
              <c:strCache>
                <c:ptCount val="1"/>
                <c:pt idx="0">
                  <c:v>2007</c:v>
                </c:pt>
              </c:strCache>
            </c:strRef>
          </c:tx>
          <c:invertIfNegative val="0"/>
          <c:cat>
            <c:strRef>
              <c:f>Sheet1!$B$201:$F$201</c:f>
              <c:strCache>
                <c:ptCount val="5"/>
                <c:pt idx="0">
                  <c:v>amox-clavulanat</c:v>
                </c:pt>
                <c:pt idx="1">
                  <c:v>cotrimoxazol</c:v>
                </c:pt>
                <c:pt idx="2">
                  <c:v>gentamisin</c:v>
                </c:pt>
                <c:pt idx="3">
                  <c:v>ampi-sulbactam</c:v>
                </c:pt>
                <c:pt idx="4">
                  <c:v>cefotaxim</c:v>
                </c:pt>
              </c:strCache>
            </c:strRef>
          </c:cat>
          <c:val>
            <c:numRef>
              <c:f>Sheet1!$B$202:$F$202</c:f>
              <c:numCache>
                <c:formatCode>General</c:formatCode>
                <c:ptCount val="5"/>
                <c:pt idx="0">
                  <c:v>43.0</c:v>
                </c:pt>
                <c:pt idx="1">
                  <c:v>44.0</c:v>
                </c:pt>
                <c:pt idx="2">
                  <c:v>52.0</c:v>
                </c:pt>
                <c:pt idx="3">
                  <c:v>48.0</c:v>
                </c:pt>
                <c:pt idx="4">
                  <c:v>46.0</c:v>
                </c:pt>
              </c:numCache>
            </c:numRef>
          </c:val>
        </c:ser>
        <c:ser>
          <c:idx val="1"/>
          <c:order val="1"/>
          <c:tx>
            <c:strRef>
              <c:f>Sheet1!$A$203</c:f>
              <c:strCache>
                <c:ptCount val="1"/>
                <c:pt idx="0">
                  <c:v>2008</c:v>
                </c:pt>
              </c:strCache>
            </c:strRef>
          </c:tx>
          <c:invertIfNegative val="0"/>
          <c:cat>
            <c:strRef>
              <c:f>Sheet1!$B$201:$F$201</c:f>
              <c:strCache>
                <c:ptCount val="5"/>
                <c:pt idx="0">
                  <c:v>amox-clavulanat</c:v>
                </c:pt>
                <c:pt idx="1">
                  <c:v>cotrimoxazol</c:v>
                </c:pt>
                <c:pt idx="2">
                  <c:v>gentamisin</c:v>
                </c:pt>
                <c:pt idx="3">
                  <c:v>ampi-sulbactam</c:v>
                </c:pt>
                <c:pt idx="4">
                  <c:v>cefotaxim</c:v>
                </c:pt>
              </c:strCache>
            </c:strRef>
          </c:cat>
          <c:val>
            <c:numRef>
              <c:f>Sheet1!$B$203:$F$203</c:f>
              <c:numCache>
                <c:formatCode>General</c:formatCode>
                <c:ptCount val="5"/>
                <c:pt idx="0">
                  <c:v>51.0</c:v>
                </c:pt>
                <c:pt idx="1">
                  <c:v>46.0</c:v>
                </c:pt>
                <c:pt idx="2">
                  <c:v>48.0</c:v>
                </c:pt>
                <c:pt idx="3">
                  <c:v>46.0</c:v>
                </c:pt>
                <c:pt idx="4">
                  <c:v>45.0</c:v>
                </c:pt>
              </c:numCache>
            </c:numRef>
          </c:val>
        </c:ser>
        <c:ser>
          <c:idx val="2"/>
          <c:order val="2"/>
          <c:tx>
            <c:strRef>
              <c:f>Sheet1!$A$204</c:f>
              <c:strCache>
                <c:ptCount val="1"/>
                <c:pt idx="0">
                  <c:v>2009</c:v>
                </c:pt>
              </c:strCache>
            </c:strRef>
          </c:tx>
          <c:invertIfNegative val="0"/>
          <c:cat>
            <c:strRef>
              <c:f>Sheet1!$B$201:$F$201</c:f>
              <c:strCache>
                <c:ptCount val="5"/>
                <c:pt idx="0">
                  <c:v>amox-clavulanat</c:v>
                </c:pt>
                <c:pt idx="1">
                  <c:v>cotrimoxazol</c:v>
                </c:pt>
                <c:pt idx="2">
                  <c:v>gentamisin</c:v>
                </c:pt>
                <c:pt idx="3">
                  <c:v>ampi-sulbactam</c:v>
                </c:pt>
                <c:pt idx="4">
                  <c:v>cefotaxim</c:v>
                </c:pt>
              </c:strCache>
            </c:strRef>
          </c:cat>
          <c:val>
            <c:numRef>
              <c:f>Sheet1!$B$204:$F$204</c:f>
              <c:numCache>
                <c:formatCode>General</c:formatCode>
                <c:ptCount val="5"/>
                <c:pt idx="0">
                  <c:v>55.0</c:v>
                </c:pt>
                <c:pt idx="1">
                  <c:v>40.0</c:v>
                </c:pt>
                <c:pt idx="2">
                  <c:v>52.0</c:v>
                </c:pt>
                <c:pt idx="3">
                  <c:v>47.0</c:v>
                </c:pt>
                <c:pt idx="4">
                  <c:v>46.0</c:v>
                </c:pt>
              </c:numCache>
            </c:numRef>
          </c:val>
        </c:ser>
        <c:ser>
          <c:idx val="3"/>
          <c:order val="3"/>
          <c:tx>
            <c:strRef>
              <c:f>Sheet1!$A$205</c:f>
              <c:strCache>
                <c:ptCount val="1"/>
                <c:pt idx="0">
                  <c:v>2010</c:v>
                </c:pt>
              </c:strCache>
            </c:strRef>
          </c:tx>
          <c:invertIfNegative val="0"/>
          <c:cat>
            <c:strRef>
              <c:f>Sheet1!$B$201:$F$201</c:f>
              <c:strCache>
                <c:ptCount val="5"/>
                <c:pt idx="0">
                  <c:v>amox-clavulanat</c:v>
                </c:pt>
                <c:pt idx="1">
                  <c:v>cotrimoxazol</c:v>
                </c:pt>
                <c:pt idx="2">
                  <c:v>gentamisin</c:v>
                </c:pt>
                <c:pt idx="3">
                  <c:v>ampi-sulbactam</c:v>
                </c:pt>
                <c:pt idx="4">
                  <c:v>cefotaxim</c:v>
                </c:pt>
              </c:strCache>
            </c:strRef>
          </c:cat>
          <c:val>
            <c:numRef>
              <c:f>Sheet1!$B$205:$F$205</c:f>
              <c:numCache>
                <c:formatCode>General</c:formatCode>
                <c:ptCount val="5"/>
                <c:pt idx="0">
                  <c:v>46.0</c:v>
                </c:pt>
                <c:pt idx="1">
                  <c:v>47.0</c:v>
                </c:pt>
                <c:pt idx="2">
                  <c:v>47.0</c:v>
                </c:pt>
                <c:pt idx="3">
                  <c:v>50.0</c:v>
                </c:pt>
                <c:pt idx="4">
                  <c:v>51.0</c:v>
                </c:pt>
              </c:numCache>
            </c:numRef>
          </c:val>
        </c:ser>
        <c:ser>
          <c:idx val="4"/>
          <c:order val="4"/>
          <c:tx>
            <c:strRef>
              <c:f>Sheet1!$A$206</c:f>
              <c:strCache>
                <c:ptCount val="1"/>
                <c:pt idx="0">
                  <c:v>2011</c:v>
                </c:pt>
              </c:strCache>
            </c:strRef>
          </c:tx>
          <c:invertIfNegative val="0"/>
          <c:cat>
            <c:strRef>
              <c:f>Sheet1!$B$201:$F$201</c:f>
              <c:strCache>
                <c:ptCount val="5"/>
                <c:pt idx="0">
                  <c:v>amox-clavulanat</c:v>
                </c:pt>
                <c:pt idx="1">
                  <c:v>cotrimoxazol</c:v>
                </c:pt>
                <c:pt idx="2">
                  <c:v>gentamisin</c:v>
                </c:pt>
                <c:pt idx="3">
                  <c:v>ampi-sulbactam</c:v>
                </c:pt>
                <c:pt idx="4">
                  <c:v>cefotaxim</c:v>
                </c:pt>
              </c:strCache>
            </c:strRef>
          </c:cat>
          <c:val>
            <c:numRef>
              <c:f>Sheet1!$B$206:$F$206</c:f>
              <c:numCache>
                <c:formatCode>General</c:formatCode>
                <c:ptCount val="5"/>
                <c:pt idx="0">
                  <c:v>52.0</c:v>
                </c:pt>
                <c:pt idx="1">
                  <c:v>45.0</c:v>
                </c:pt>
                <c:pt idx="2">
                  <c:v>50.0</c:v>
                </c:pt>
                <c:pt idx="3">
                  <c:v>46.0</c:v>
                </c:pt>
                <c:pt idx="4">
                  <c:v>44.0</c:v>
                </c:pt>
              </c:numCache>
            </c:numRef>
          </c:val>
        </c:ser>
        <c:dLbls>
          <c:showLegendKey val="0"/>
          <c:showVal val="0"/>
          <c:showCatName val="0"/>
          <c:showSerName val="0"/>
          <c:showPercent val="0"/>
          <c:showBubbleSize val="0"/>
        </c:dLbls>
        <c:gapWidth val="150"/>
        <c:shape val="box"/>
        <c:axId val="408528440"/>
        <c:axId val="408531672"/>
        <c:axId val="0"/>
      </c:bar3DChart>
      <c:catAx>
        <c:axId val="408528440"/>
        <c:scaling>
          <c:orientation val="minMax"/>
        </c:scaling>
        <c:delete val="0"/>
        <c:axPos val="b"/>
        <c:majorTickMark val="none"/>
        <c:minorTickMark val="none"/>
        <c:tickLblPos val="nextTo"/>
        <c:txPr>
          <a:bodyPr/>
          <a:lstStyle/>
          <a:p>
            <a:pPr>
              <a:defRPr lang="en-US"/>
            </a:pPr>
            <a:endParaRPr lang="en-US"/>
          </a:p>
        </c:txPr>
        <c:crossAx val="408531672"/>
        <c:crosses val="autoZero"/>
        <c:auto val="1"/>
        <c:lblAlgn val="ctr"/>
        <c:lblOffset val="100"/>
        <c:noMultiLvlLbl val="0"/>
      </c:catAx>
      <c:valAx>
        <c:axId val="408531672"/>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408528440"/>
        <c:crosses val="autoZero"/>
        <c:crossBetween val="between"/>
      </c:valAx>
    </c:plotArea>
    <c:legend>
      <c:legendPos val="r"/>
      <c:layout/>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A2F2-7889-B942-8986-2E955E4B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9</Pages>
  <Words>2788</Words>
  <Characters>15895</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arwaniku arwaniku</cp:lastModifiedBy>
  <cp:revision>47</cp:revision>
  <dcterms:created xsi:type="dcterms:W3CDTF">2012-03-18T23:26:00Z</dcterms:created>
  <dcterms:modified xsi:type="dcterms:W3CDTF">2013-06-26T03:40:00Z</dcterms:modified>
</cp:coreProperties>
</file>